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56" w:rsidRPr="00A94F51" w:rsidRDefault="00B41756" w:rsidP="00897D0D">
      <w:pPr>
        <w:ind w:left="1418" w:hanging="1418"/>
        <w:rPr>
          <w:sz w:val="20"/>
          <w:szCs w:val="20"/>
        </w:rPr>
      </w:pPr>
    </w:p>
    <w:p w:rsidR="007B2ED2" w:rsidRPr="00C00ADD" w:rsidRDefault="00897D0D" w:rsidP="00897D0D">
      <w:pPr>
        <w:ind w:left="1418" w:hanging="1418"/>
        <w:rPr>
          <w:b/>
          <w:sz w:val="32"/>
          <w:szCs w:val="17"/>
        </w:rPr>
      </w:pPr>
      <w:r w:rsidRPr="00C00ADD">
        <w:rPr>
          <w:b/>
          <w:sz w:val="32"/>
          <w:szCs w:val="17"/>
        </w:rPr>
        <w:t xml:space="preserve">CONCEPT </w:t>
      </w:r>
      <w:r w:rsidR="00393FD5">
        <w:rPr>
          <w:b/>
          <w:sz w:val="32"/>
          <w:szCs w:val="17"/>
        </w:rPr>
        <w:t>- GUIDANCE</w:t>
      </w:r>
    </w:p>
    <w:p w:rsidR="007B2ED2" w:rsidRPr="00C00ADD" w:rsidRDefault="007B2ED2" w:rsidP="00897D0D">
      <w:pPr>
        <w:ind w:left="1418" w:hanging="1418"/>
        <w:rPr>
          <w:b/>
          <w:sz w:val="32"/>
          <w:szCs w:val="17"/>
        </w:rPr>
      </w:pPr>
    </w:p>
    <w:p w:rsidR="00897D0D" w:rsidRPr="008B6F0E" w:rsidRDefault="008E3B1C" w:rsidP="00DD47B0">
      <w:pPr>
        <w:rPr>
          <w:b/>
          <w:sz w:val="28"/>
          <w:szCs w:val="28"/>
        </w:rPr>
      </w:pPr>
      <w:r>
        <w:rPr>
          <w:b/>
          <w:sz w:val="28"/>
          <w:szCs w:val="28"/>
        </w:rPr>
        <w:t>Guidance</w:t>
      </w:r>
      <w:r w:rsidR="000F03A5" w:rsidRPr="008B6F0E">
        <w:rPr>
          <w:b/>
          <w:sz w:val="28"/>
          <w:szCs w:val="28"/>
        </w:rPr>
        <w:t xml:space="preserve"> </w:t>
      </w:r>
      <w:r w:rsidR="008B6F0E" w:rsidRPr="008B6F0E">
        <w:rPr>
          <w:b/>
          <w:sz w:val="28"/>
          <w:szCs w:val="28"/>
        </w:rPr>
        <w:t xml:space="preserve">thema onderzoek </w:t>
      </w:r>
      <w:r w:rsidR="00DD47B0">
        <w:rPr>
          <w:b/>
          <w:sz w:val="28"/>
          <w:szCs w:val="28"/>
        </w:rPr>
        <w:t xml:space="preserve">post-event </w:t>
      </w:r>
      <w:r w:rsidR="000F03A5" w:rsidRPr="008B6F0E">
        <w:rPr>
          <w:b/>
          <w:sz w:val="28"/>
          <w:szCs w:val="28"/>
        </w:rPr>
        <w:t>transa</w:t>
      </w:r>
      <w:r w:rsidR="00C5653C">
        <w:rPr>
          <w:b/>
          <w:sz w:val="28"/>
          <w:szCs w:val="28"/>
        </w:rPr>
        <w:t>ctiemonitoringsproces bij betaaldienstverleners</w:t>
      </w:r>
    </w:p>
    <w:p w:rsidR="00897D0D" w:rsidRPr="00C00ADD" w:rsidRDefault="00897AB3" w:rsidP="00897D0D">
      <w:pPr>
        <w:ind w:left="1418" w:hanging="1418"/>
        <w:rPr>
          <w:b/>
          <w:sz w:val="20"/>
          <w:szCs w:val="17"/>
        </w:rPr>
      </w:pPr>
      <w:r>
        <w:rPr>
          <w:b/>
          <w:sz w:val="20"/>
          <w:szCs w:val="17"/>
        </w:rPr>
        <w:t>30</w:t>
      </w:r>
      <w:r w:rsidR="009635C1">
        <w:rPr>
          <w:b/>
          <w:sz w:val="20"/>
          <w:szCs w:val="17"/>
        </w:rPr>
        <w:t xml:space="preserve"> mei</w:t>
      </w:r>
      <w:r w:rsidR="008E3B1C">
        <w:rPr>
          <w:b/>
          <w:sz w:val="20"/>
          <w:szCs w:val="17"/>
        </w:rPr>
        <w:t xml:space="preserve"> 2017</w:t>
      </w:r>
    </w:p>
    <w:p w:rsidR="008B1D89" w:rsidRDefault="008B1D89" w:rsidP="00850FE9">
      <w:pPr>
        <w:rPr>
          <w:szCs w:val="17"/>
        </w:rPr>
      </w:pPr>
    </w:p>
    <w:p w:rsidR="00CB264B" w:rsidRDefault="00850FE9" w:rsidP="00850FE9">
      <w:pPr>
        <w:rPr>
          <w:szCs w:val="17"/>
        </w:rPr>
      </w:pPr>
      <w:r w:rsidRPr="00C00ADD">
        <w:rPr>
          <w:szCs w:val="17"/>
        </w:rPr>
        <w:t xml:space="preserve">In dit document leest </w:t>
      </w:r>
      <w:r w:rsidR="007B2ED2" w:rsidRPr="00C00ADD">
        <w:rPr>
          <w:szCs w:val="17"/>
        </w:rPr>
        <w:t xml:space="preserve">u </w:t>
      </w:r>
      <w:r w:rsidR="004F4051">
        <w:rPr>
          <w:szCs w:val="17"/>
        </w:rPr>
        <w:t>de</w:t>
      </w:r>
      <w:r w:rsidR="004F4051" w:rsidRPr="00C00ADD">
        <w:rPr>
          <w:szCs w:val="17"/>
        </w:rPr>
        <w:t xml:space="preserve"> </w:t>
      </w:r>
      <w:r w:rsidR="002245DB">
        <w:rPr>
          <w:szCs w:val="17"/>
        </w:rPr>
        <w:t xml:space="preserve">belangrijkste bevindingen </w:t>
      </w:r>
      <w:r w:rsidR="000F03A5">
        <w:rPr>
          <w:szCs w:val="17"/>
        </w:rPr>
        <w:t xml:space="preserve">van het </w:t>
      </w:r>
      <w:r w:rsidR="002245DB">
        <w:rPr>
          <w:szCs w:val="17"/>
        </w:rPr>
        <w:t xml:space="preserve">in 2016 uitgevoerde </w:t>
      </w:r>
      <w:r w:rsidR="000F03A5">
        <w:rPr>
          <w:szCs w:val="17"/>
        </w:rPr>
        <w:t>thema</w:t>
      </w:r>
      <w:r w:rsidR="00806CF9">
        <w:rPr>
          <w:szCs w:val="17"/>
        </w:rPr>
        <w:t>-</w:t>
      </w:r>
      <w:r w:rsidR="000F03A5">
        <w:rPr>
          <w:szCs w:val="17"/>
        </w:rPr>
        <w:t xml:space="preserve">onderzoek post-event </w:t>
      </w:r>
      <w:r w:rsidR="00C5653C">
        <w:rPr>
          <w:szCs w:val="17"/>
        </w:rPr>
        <w:t>transactiemoni</w:t>
      </w:r>
      <w:r w:rsidR="000D203E">
        <w:rPr>
          <w:szCs w:val="17"/>
        </w:rPr>
        <w:t xml:space="preserve">toring bij </w:t>
      </w:r>
      <w:r w:rsidR="003E2714">
        <w:rPr>
          <w:szCs w:val="17"/>
        </w:rPr>
        <w:t>betaaldienstverleners</w:t>
      </w:r>
      <w:r w:rsidR="001A7B27">
        <w:rPr>
          <w:szCs w:val="17"/>
        </w:rPr>
        <w:t>.</w:t>
      </w:r>
      <w:r w:rsidR="00D2030F">
        <w:rPr>
          <w:rStyle w:val="Voetnootmarkering"/>
          <w:szCs w:val="17"/>
        </w:rPr>
        <w:footnoteReference w:id="1"/>
      </w:r>
      <w:r w:rsidR="00572AA5">
        <w:rPr>
          <w:szCs w:val="17"/>
        </w:rPr>
        <w:t xml:space="preserve"> </w:t>
      </w:r>
      <w:r w:rsidR="00AE731D">
        <w:rPr>
          <w:szCs w:val="17"/>
        </w:rPr>
        <w:t>D</w:t>
      </w:r>
      <w:r w:rsidRPr="00C00ADD">
        <w:rPr>
          <w:szCs w:val="17"/>
        </w:rPr>
        <w:t xml:space="preserve">eze </w:t>
      </w:r>
      <w:r w:rsidR="002245DB">
        <w:rPr>
          <w:szCs w:val="17"/>
        </w:rPr>
        <w:t>bevinding</w:t>
      </w:r>
      <w:r w:rsidR="00D2030F">
        <w:rPr>
          <w:szCs w:val="17"/>
        </w:rPr>
        <w:t>en</w:t>
      </w:r>
      <w:r w:rsidR="00E248FC">
        <w:rPr>
          <w:szCs w:val="17"/>
        </w:rPr>
        <w:t xml:space="preserve"> laten zien dat </w:t>
      </w:r>
      <w:r w:rsidR="008E3B1C">
        <w:rPr>
          <w:szCs w:val="17"/>
        </w:rPr>
        <w:t xml:space="preserve">de onderzochte </w:t>
      </w:r>
      <w:r w:rsidR="003E2714">
        <w:rPr>
          <w:szCs w:val="17"/>
        </w:rPr>
        <w:t>betaaldienstverleners</w:t>
      </w:r>
      <w:r w:rsidR="00E248FC">
        <w:rPr>
          <w:szCs w:val="17"/>
        </w:rPr>
        <w:t xml:space="preserve"> </w:t>
      </w:r>
      <w:r w:rsidR="004F4051">
        <w:rPr>
          <w:szCs w:val="17"/>
        </w:rPr>
        <w:t xml:space="preserve">witwas- en terrorismefinancieringsrisico’s niet voldoende beheersen omdat </w:t>
      </w:r>
      <w:r w:rsidR="00E248FC">
        <w:rPr>
          <w:szCs w:val="17"/>
        </w:rPr>
        <w:t xml:space="preserve">hun transactiemonitoringsproces nog niet op orde </w:t>
      </w:r>
      <w:r w:rsidR="004F4051">
        <w:rPr>
          <w:szCs w:val="17"/>
        </w:rPr>
        <w:t>is</w:t>
      </w:r>
      <w:r w:rsidRPr="00C00ADD">
        <w:rPr>
          <w:szCs w:val="17"/>
        </w:rPr>
        <w:t xml:space="preserve">. </w:t>
      </w:r>
      <w:r w:rsidR="004F4051">
        <w:rPr>
          <w:szCs w:val="17"/>
        </w:rPr>
        <w:t>D</w:t>
      </w:r>
      <w:r w:rsidR="00E248FC">
        <w:rPr>
          <w:szCs w:val="17"/>
        </w:rPr>
        <w:t xml:space="preserve">it document </w:t>
      </w:r>
      <w:r w:rsidR="004F4051">
        <w:rPr>
          <w:szCs w:val="17"/>
        </w:rPr>
        <w:t xml:space="preserve">bevat </w:t>
      </w:r>
      <w:r w:rsidR="001E10CC">
        <w:rPr>
          <w:szCs w:val="17"/>
        </w:rPr>
        <w:t xml:space="preserve">de </w:t>
      </w:r>
      <w:r w:rsidR="00F57308">
        <w:rPr>
          <w:szCs w:val="17"/>
        </w:rPr>
        <w:t xml:space="preserve">belangrijkste </w:t>
      </w:r>
      <w:r w:rsidR="00D2030F">
        <w:rPr>
          <w:szCs w:val="17"/>
        </w:rPr>
        <w:t>uitkomsten</w:t>
      </w:r>
      <w:r w:rsidR="00E248FC">
        <w:rPr>
          <w:szCs w:val="17"/>
        </w:rPr>
        <w:t xml:space="preserve"> </w:t>
      </w:r>
      <w:r w:rsidR="001E10CC">
        <w:rPr>
          <w:szCs w:val="17"/>
        </w:rPr>
        <w:t xml:space="preserve">van </w:t>
      </w:r>
      <w:r w:rsidR="0018029B">
        <w:rPr>
          <w:szCs w:val="17"/>
        </w:rPr>
        <w:t>dit</w:t>
      </w:r>
      <w:r w:rsidR="001E10CC">
        <w:rPr>
          <w:szCs w:val="17"/>
        </w:rPr>
        <w:t xml:space="preserve"> onderzoek </w:t>
      </w:r>
      <w:r w:rsidR="00E248FC">
        <w:rPr>
          <w:szCs w:val="17"/>
        </w:rPr>
        <w:t>en bied</w:t>
      </w:r>
      <w:r w:rsidR="004F4051">
        <w:rPr>
          <w:szCs w:val="17"/>
        </w:rPr>
        <w:t>t</w:t>
      </w:r>
      <w:r w:rsidR="00E248FC">
        <w:rPr>
          <w:szCs w:val="17"/>
        </w:rPr>
        <w:t xml:space="preserve"> </w:t>
      </w:r>
      <w:r w:rsidR="00A9600C">
        <w:rPr>
          <w:szCs w:val="17"/>
        </w:rPr>
        <w:t xml:space="preserve">guidance </w:t>
      </w:r>
      <w:r w:rsidR="004F4051">
        <w:rPr>
          <w:szCs w:val="17"/>
        </w:rPr>
        <w:t xml:space="preserve">om </w:t>
      </w:r>
      <w:r w:rsidR="00A9600C">
        <w:rPr>
          <w:szCs w:val="17"/>
        </w:rPr>
        <w:t xml:space="preserve">uw transactiemonitoringsproces </w:t>
      </w:r>
      <w:r w:rsidR="004F4051">
        <w:rPr>
          <w:szCs w:val="17"/>
        </w:rPr>
        <w:t xml:space="preserve">te </w:t>
      </w:r>
      <w:r w:rsidR="00A9600C">
        <w:rPr>
          <w:szCs w:val="17"/>
        </w:rPr>
        <w:t>verbeteren</w:t>
      </w:r>
      <w:r w:rsidR="00E248FC">
        <w:rPr>
          <w:szCs w:val="17"/>
        </w:rPr>
        <w:t xml:space="preserve">. </w:t>
      </w:r>
      <w:r w:rsidRPr="00C00ADD">
        <w:rPr>
          <w:szCs w:val="17"/>
        </w:rPr>
        <w:t xml:space="preserve">Het spreekt voor zich dat </w:t>
      </w:r>
      <w:r w:rsidR="003E258F">
        <w:rPr>
          <w:szCs w:val="17"/>
        </w:rPr>
        <w:t xml:space="preserve">u </w:t>
      </w:r>
      <w:r w:rsidRPr="00C00ADD">
        <w:rPr>
          <w:szCs w:val="17"/>
        </w:rPr>
        <w:t>de eigen omstandigh</w:t>
      </w:r>
      <w:r w:rsidR="000D203E">
        <w:rPr>
          <w:szCs w:val="17"/>
        </w:rPr>
        <w:t>eden van uw instelling</w:t>
      </w:r>
      <w:r w:rsidRPr="00C00ADD">
        <w:rPr>
          <w:szCs w:val="17"/>
        </w:rPr>
        <w:t xml:space="preserve"> </w:t>
      </w:r>
      <w:r w:rsidR="003E258F">
        <w:rPr>
          <w:szCs w:val="17"/>
        </w:rPr>
        <w:t xml:space="preserve">in aanmerking neemt bij de </w:t>
      </w:r>
      <w:r w:rsidR="006011BD">
        <w:rPr>
          <w:szCs w:val="17"/>
        </w:rPr>
        <w:t>oplossingen en maatregelen</w:t>
      </w:r>
      <w:r w:rsidRPr="00C00ADD">
        <w:rPr>
          <w:szCs w:val="17"/>
        </w:rPr>
        <w:t xml:space="preserve"> </w:t>
      </w:r>
      <w:r w:rsidR="003E258F">
        <w:rPr>
          <w:szCs w:val="17"/>
        </w:rPr>
        <w:t>die u treft</w:t>
      </w:r>
      <w:r w:rsidRPr="00C00ADD">
        <w:rPr>
          <w:szCs w:val="17"/>
        </w:rPr>
        <w:t>. U maakt hierin uw eigen afweging.</w:t>
      </w:r>
    </w:p>
    <w:p w:rsidR="00CB264B" w:rsidRDefault="00CB264B" w:rsidP="00850FE9">
      <w:pPr>
        <w:rPr>
          <w:szCs w:val="17"/>
        </w:rPr>
      </w:pPr>
    </w:p>
    <w:p w:rsidR="002B68CE" w:rsidRDefault="00CB264B" w:rsidP="00F76086">
      <w:pPr>
        <w:tabs>
          <w:tab w:val="left" w:pos="4144"/>
        </w:tabs>
        <w:rPr>
          <w:szCs w:val="17"/>
        </w:rPr>
      </w:pPr>
      <w:r w:rsidRPr="00C022A0">
        <w:rPr>
          <w:szCs w:val="17"/>
        </w:rPr>
        <w:t xml:space="preserve">DNB heeft </w:t>
      </w:r>
      <w:r w:rsidR="00441C03" w:rsidRPr="00C022A0">
        <w:rPr>
          <w:szCs w:val="17"/>
        </w:rPr>
        <w:t xml:space="preserve">op het gebied van betaaldienstverleners </w:t>
      </w:r>
      <w:r w:rsidRPr="00C022A0">
        <w:rPr>
          <w:szCs w:val="17"/>
        </w:rPr>
        <w:t>alleen onderzoek uitgevoerd bij vergunninghoudende betaaldienstverleners</w:t>
      </w:r>
      <w:r w:rsidR="003E2714" w:rsidRPr="00C022A0">
        <w:rPr>
          <w:szCs w:val="17"/>
        </w:rPr>
        <w:t xml:space="preserve">. </w:t>
      </w:r>
      <w:r w:rsidR="00441C03" w:rsidRPr="00C022A0">
        <w:rPr>
          <w:szCs w:val="17"/>
        </w:rPr>
        <w:t>Ook v</w:t>
      </w:r>
      <w:r w:rsidRPr="00C022A0">
        <w:rPr>
          <w:szCs w:val="17"/>
        </w:rPr>
        <w:t>rijgestelde betaaldienstverleners dienen op grond van de Wet ter voorkoming van witwassen en terrorismefinanc</w:t>
      </w:r>
      <w:r w:rsidR="00B81904" w:rsidRPr="00C022A0">
        <w:rPr>
          <w:szCs w:val="17"/>
        </w:rPr>
        <w:t>iering (Wwft</w:t>
      </w:r>
      <w:r w:rsidRPr="00C022A0">
        <w:rPr>
          <w:szCs w:val="17"/>
        </w:rPr>
        <w:t xml:space="preserve">) hun transacties adequaat te monitoren. Deze guidance is </w:t>
      </w:r>
      <w:r w:rsidR="004F4051" w:rsidRPr="00C022A0">
        <w:rPr>
          <w:szCs w:val="17"/>
        </w:rPr>
        <w:t xml:space="preserve">zowel </w:t>
      </w:r>
      <w:r w:rsidRPr="00C022A0">
        <w:rPr>
          <w:szCs w:val="17"/>
        </w:rPr>
        <w:t xml:space="preserve">bedoeld voor </w:t>
      </w:r>
      <w:r w:rsidR="004F4051" w:rsidRPr="00C022A0">
        <w:rPr>
          <w:szCs w:val="17"/>
        </w:rPr>
        <w:t xml:space="preserve">vrijgestelde als vergunninghoudende </w:t>
      </w:r>
      <w:r w:rsidRPr="00C022A0">
        <w:rPr>
          <w:szCs w:val="17"/>
        </w:rPr>
        <w:t>betaaldienstverleners.</w:t>
      </w:r>
      <w:r w:rsidR="00850FE9" w:rsidRPr="00C00ADD">
        <w:rPr>
          <w:szCs w:val="17"/>
        </w:rPr>
        <w:t xml:space="preserve"> </w:t>
      </w:r>
    </w:p>
    <w:p w:rsidR="00375E95" w:rsidRDefault="00375E95">
      <w:pPr>
        <w:spacing w:after="160"/>
        <w:rPr>
          <w:szCs w:val="17"/>
        </w:rPr>
      </w:pPr>
    </w:p>
    <w:p w:rsidR="00375E95" w:rsidRDefault="00375E95">
      <w:pPr>
        <w:spacing w:after="160"/>
        <w:rPr>
          <w:b/>
          <w:szCs w:val="17"/>
        </w:rPr>
      </w:pPr>
      <w:r w:rsidRPr="00375E95">
        <w:rPr>
          <w:b/>
          <w:szCs w:val="17"/>
        </w:rPr>
        <w:t xml:space="preserve">Noot: Omwille van de leesbaarheid zijn de in dit document opgenomen figuren opgenomen in een aparte bijlage </w:t>
      </w:r>
    </w:p>
    <w:p w:rsidR="00A9600C" w:rsidRDefault="00A9600C">
      <w:pPr>
        <w:spacing w:after="160"/>
        <w:rPr>
          <w:b/>
          <w:szCs w:val="17"/>
        </w:rPr>
      </w:pPr>
    </w:p>
    <w:p w:rsidR="0028778F" w:rsidRPr="0028778F" w:rsidRDefault="0028778F">
      <w:pPr>
        <w:spacing w:after="160"/>
        <w:rPr>
          <w:b/>
          <w:szCs w:val="17"/>
        </w:rPr>
      </w:pPr>
      <w:r w:rsidRPr="0028778F">
        <w:rPr>
          <w:b/>
          <w:szCs w:val="17"/>
        </w:rPr>
        <w:t>Toelichting brochure</w:t>
      </w:r>
    </w:p>
    <w:p w:rsidR="00A9600C" w:rsidRPr="00C5653C" w:rsidRDefault="00A9600C">
      <w:pPr>
        <w:spacing w:after="160"/>
        <w:rPr>
          <w:szCs w:val="17"/>
        </w:rPr>
      </w:pPr>
      <w:r w:rsidRPr="00C5653C">
        <w:rPr>
          <w:szCs w:val="17"/>
        </w:rPr>
        <w:t xml:space="preserve">Deze brochure is als volgt opgebouwd. Na de inleiding </w:t>
      </w:r>
      <w:r w:rsidR="003E258F">
        <w:rPr>
          <w:szCs w:val="17"/>
        </w:rPr>
        <w:t xml:space="preserve">vindt u eerst </w:t>
      </w:r>
      <w:r w:rsidRPr="00C5653C">
        <w:rPr>
          <w:szCs w:val="17"/>
        </w:rPr>
        <w:t xml:space="preserve">een korte beschrijving </w:t>
      </w:r>
      <w:r w:rsidR="003E258F">
        <w:rPr>
          <w:szCs w:val="17"/>
        </w:rPr>
        <w:t xml:space="preserve">van </w:t>
      </w:r>
      <w:r w:rsidRPr="00C5653C">
        <w:rPr>
          <w:szCs w:val="17"/>
        </w:rPr>
        <w:t xml:space="preserve">het transactiemonitoringsproces en presenteren wij u </w:t>
      </w:r>
      <w:r w:rsidR="003E258F">
        <w:rPr>
          <w:szCs w:val="17"/>
        </w:rPr>
        <w:t>het</w:t>
      </w:r>
      <w:r w:rsidRPr="00C5653C">
        <w:rPr>
          <w:szCs w:val="17"/>
        </w:rPr>
        <w:t xml:space="preserve"> </w:t>
      </w:r>
      <w:r w:rsidR="003E258F">
        <w:rPr>
          <w:szCs w:val="17"/>
        </w:rPr>
        <w:t>‘</w:t>
      </w:r>
      <w:r w:rsidRPr="00C5653C">
        <w:rPr>
          <w:szCs w:val="17"/>
        </w:rPr>
        <w:t>volwassenheidsmodel</w:t>
      </w:r>
      <w:r w:rsidR="003E258F">
        <w:rPr>
          <w:szCs w:val="17"/>
        </w:rPr>
        <w:t>’</w:t>
      </w:r>
      <w:r w:rsidRPr="00C5653C">
        <w:rPr>
          <w:szCs w:val="17"/>
        </w:rPr>
        <w:t xml:space="preserve"> </w:t>
      </w:r>
      <w:r w:rsidR="003E258F">
        <w:rPr>
          <w:szCs w:val="17"/>
        </w:rPr>
        <w:t>d</w:t>
      </w:r>
      <w:r w:rsidRPr="00C5653C">
        <w:rPr>
          <w:szCs w:val="17"/>
        </w:rPr>
        <w:t xml:space="preserve">at wij bij de uitvoering van het thema onderzoek hebben toegepast. Daarna leest u per onderdeel van dit model onze guidance. De guidance start met de hoofbevindingen uit het onderzoek, waarna een toelichting volgt. Vervolgens vindt u </w:t>
      </w:r>
      <w:r w:rsidR="0028778F" w:rsidRPr="00C5653C">
        <w:rPr>
          <w:szCs w:val="17"/>
        </w:rPr>
        <w:t xml:space="preserve">per onderdeel van het volwassenheidsmodel </w:t>
      </w:r>
      <w:r w:rsidRPr="00C5653C">
        <w:rPr>
          <w:szCs w:val="17"/>
        </w:rPr>
        <w:t>praktijkvoorbeelden</w:t>
      </w:r>
      <w:r w:rsidR="003E258F">
        <w:rPr>
          <w:szCs w:val="17"/>
        </w:rPr>
        <w:t>,</w:t>
      </w:r>
      <w:r w:rsidR="0028778F" w:rsidRPr="00C5653C">
        <w:rPr>
          <w:szCs w:val="17"/>
        </w:rPr>
        <w:t xml:space="preserve"> voorbeelden </w:t>
      </w:r>
      <w:r w:rsidR="003E258F">
        <w:rPr>
          <w:szCs w:val="17"/>
        </w:rPr>
        <w:t xml:space="preserve">van </w:t>
      </w:r>
      <w:r w:rsidR="0028778F" w:rsidRPr="00C5653C">
        <w:rPr>
          <w:szCs w:val="17"/>
        </w:rPr>
        <w:t xml:space="preserve">hoe het kan en voorbeelden </w:t>
      </w:r>
      <w:r w:rsidR="003E258F">
        <w:rPr>
          <w:szCs w:val="17"/>
        </w:rPr>
        <w:t xml:space="preserve">van </w:t>
      </w:r>
      <w:r w:rsidR="0028778F" w:rsidRPr="00C5653C">
        <w:rPr>
          <w:szCs w:val="17"/>
        </w:rPr>
        <w:t>hoe het niet zou moeten</w:t>
      </w:r>
      <w:r w:rsidR="003E258F">
        <w:rPr>
          <w:szCs w:val="17"/>
        </w:rPr>
        <w:t>,</w:t>
      </w:r>
      <w:r w:rsidRPr="00C5653C">
        <w:rPr>
          <w:szCs w:val="17"/>
        </w:rPr>
        <w:t xml:space="preserve"> die wij in het onderzoek hebben aangetroffen. </w:t>
      </w:r>
    </w:p>
    <w:p w:rsidR="002B68CE" w:rsidRDefault="002B68CE">
      <w:pPr>
        <w:spacing w:after="160"/>
        <w:rPr>
          <w:szCs w:val="17"/>
        </w:rPr>
      </w:pPr>
      <w:r>
        <w:rPr>
          <w:szCs w:val="17"/>
        </w:rPr>
        <w:br w:type="page"/>
      </w:r>
    </w:p>
    <w:p w:rsidR="00572AA5" w:rsidRDefault="00572AA5" w:rsidP="00850FE9">
      <w:pPr>
        <w:rPr>
          <w:szCs w:val="17"/>
        </w:rPr>
      </w:pPr>
    </w:p>
    <w:p w:rsidR="00560B68" w:rsidRDefault="00560B68">
      <w:pPr>
        <w:spacing w:after="160"/>
        <w:rPr>
          <w:szCs w:val="17"/>
        </w:rPr>
      </w:pPr>
    </w:p>
    <w:sdt>
      <w:sdtPr>
        <w:rPr>
          <w:b/>
          <w:noProof/>
          <w:sz w:val="22"/>
        </w:rPr>
        <w:id w:val="1207144524"/>
        <w:docPartObj>
          <w:docPartGallery w:val="Table of Contents"/>
          <w:docPartUnique/>
        </w:docPartObj>
      </w:sdtPr>
      <w:sdtEndPr>
        <w:rPr>
          <w:b w:val="0"/>
          <w:noProof w:val="0"/>
          <w:sz w:val="17"/>
        </w:rPr>
      </w:sdtEndPr>
      <w:sdtContent>
        <w:p w:rsidR="00560B68" w:rsidRPr="00CC3567" w:rsidRDefault="00560B68" w:rsidP="00B91E95">
          <w:pPr>
            <w:tabs>
              <w:tab w:val="center" w:pos="4383"/>
            </w:tabs>
            <w:rPr>
              <w:b/>
              <w:noProof/>
              <w:sz w:val="22"/>
            </w:rPr>
          </w:pPr>
          <w:r w:rsidRPr="00CC3567">
            <w:rPr>
              <w:b/>
              <w:noProof/>
              <w:sz w:val="22"/>
            </w:rPr>
            <w:t>Inhoud</w:t>
          </w:r>
          <w:r w:rsidR="00607394">
            <w:rPr>
              <w:b/>
              <w:noProof/>
              <w:sz w:val="22"/>
            </w:rPr>
            <w:tab/>
          </w:r>
        </w:p>
        <w:p w:rsidR="00897AB3" w:rsidRDefault="00560B68">
          <w:pPr>
            <w:pStyle w:val="Inhopg1"/>
            <w:rPr>
              <w:rFonts w:asciiTheme="minorHAnsi" w:eastAsiaTheme="minorEastAsia" w:hAnsiTheme="minorHAnsi"/>
              <w:b w:val="0"/>
              <w:noProof/>
              <w:lang w:eastAsia="nl-NL"/>
            </w:rPr>
          </w:pPr>
          <w:r>
            <w:rPr>
              <w:noProof/>
            </w:rPr>
            <w:fldChar w:fldCharType="begin"/>
          </w:r>
          <w:r>
            <w:rPr>
              <w:noProof/>
            </w:rPr>
            <w:instrText xml:space="preserve"> TOC \o "1-3" \h \z \u </w:instrText>
          </w:r>
          <w:r>
            <w:rPr>
              <w:noProof/>
            </w:rPr>
            <w:fldChar w:fldCharType="separate"/>
          </w:r>
          <w:hyperlink w:anchor="_Toc483922725" w:history="1">
            <w:r w:rsidR="00897AB3" w:rsidRPr="006602EE">
              <w:rPr>
                <w:rStyle w:val="Hyperlink"/>
                <w:noProof/>
              </w:rPr>
              <w:t>SAMENVATTING</w:t>
            </w:r>
            <w:r w:rsidR="00897AB3">
              <w:rPr>
                <w:noProof/>
                <w:webHidden/>
              </w:rPr>
              <w:tab/>
            </w:r>
            <w:r w:rsidR="00897AB3">
              <w:rPr>
                <w:noProof/>
                <w:webHidden/>
              </w:rPr>
              <w:fldChar w:fldCharType="begin"/>
            </w:r>
            <w:r w:rsidR="00897AB3">
              <w:rPr>
                <w:noProof/>
                <w:webHidden/>
              </w:rPr>
              <w:instrText xml:space="preserve"> PAGEREF _Toc483922725 \h </w:instrText>
            </w:r>
            <w:r w:rsidR="00897AB3">
              <w:rPr>
                <w:noProof/>
                <w:webHidden/>
              </w:rPr>
            </w:r>
            <w:r w:rsidR="00897AB3">
              <w:rPr>
                <w:noProof/>
                <w:webHidden/>
              </w:rPr>
              <w:fldChar w:fldCharType="separate"/>
            </w:r>
            <w:r w:rsidR="00897AB3">
              <w:rPr>
                <w:noProof/>
                <w:webHidden/>
              </w:rPr>
              <w:t>3</w:t>
            </w:r>
            <w:r w:rsidR="00897AB3">
              <w:rPr>
                <w:noProof/>
                <w:webHidden/>
              </w:rPr>
              <w:fldChar w:fldCharType="end"/>
            </w:r>
          </w:hyperlink>
        </w:p>
        <w:p w:rsidR="00897AB3" w:rsidRDefault="003C3E70">
          <w:pPr>
            <w:pStyle w:val="Inhopg1"/>
            <w:rPr>
              <w:rFonts w:asciiTheme="minorHAnsi" w:eastAsiaTheme="minorEastAsia" w:hAnsiTheme="minorHAnsi"/>
              <w:b w:val="0"/>
              <w:noProof/>
              <w:lang w:eastAsia="nl-NL"/>
            </w:rPr>
          </w:pPr>
          <w:hyperlink w:anchor="_Toc483922726" w:history="1">
            <w:r w:rsidR="00897AB3" w:rsidRPr="006602EE">
              <w:rPr>
                <w:rStyle w:val="Hyperlink"/>
                <w:noProof/>
              </w:rPr>
              <w:t>1.</w:t>
            </w:r>
            <w:r w:rsidR="00897AB3">
              <w:rPr>
                <w:rFonts w:asciiTheme="minorHAnsi" w:eastAsiaTheme="minorEastAsia" w:hAnsiTheme="minorHAnsi"/>
                <w:b w:val="0"/>
                <w:noProof/>
                <w:lang w:eastAsia="nl-NL"/>
              </w:rPr>
              <w:tab/>
            </w:r>
            <w:r w:rsidR="00897AB3" w:rsidRPr="006602EE">
              <w:rPr>
                <w:rStyle w:val="Hyperlink"/>
                <w:noProof/>
              </w:rPr>
              <w:t>Inleiding</w:t>
            </w:r>
            <w:r w:rsidR="00897AB3">
              <w:rPr>
                <w:noProof/>
                <w:webHidden/>
              </w:rPr>
              <w:tab/>
            </w:r>
            <w:r w:rsidR="00897AB3">
              <w:rPr>
                <w:noProof/>
                <w:webHidden/>
              </w:rPr>
              <w:fldChar w:fldCharType="begin"/>
            </w:r>
            <w:r w:rsidR="00897AB3">
              <w:rPr>
                <w:noProof/>
                <w:webHidden/>
              </w:rPr>
              <w:instrText xml:space="preserve"> PAGEREF _Toc483922726 \h </w:instrText>
            </w:r>
            <w:r w:rsidR="00897AB3">
              <w:rPr>
                <w:noProof/>
                <w:webHidden/>
              </w:rPr>
            </w:r>
            <w:r w:rsidR="00897AB3">
              <w:rPr>
                <w:noProof/>
                <w:webHidden/>
              </w:rPr>
              <w:fldChar w:fldCharType="separate"/>
            </w:r>
            <w:r w:rsidR="00897AB3">
              <w:rPr>
                <w:noProof/>
                <w:webHidden/>
              </w:rPr>
              <w:t>4</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27" w:history="1">
            <w:r w:rsidR="00897AB3" w:rsidRPr="006602EE">
              <w:rPr>
                <w:rStyle w:val="Hyperlink"/>
                <w:noProof/>
                <w14:scene3d>
                  <w14:camera w14:prst="orthographicFront"/>
                  <w14:lightRig w14:rig="threePt" w14:dir="t">
                    <w14:rot w14:lat="0" w14:lon="0" w14:rev="0"/>
                  </w14:lightRig>
                </w14:scene3d>
              </w:rPr>
              <w:t>1.1</w:t>
            </w:r>
            <w:r w:rsidR="00897AB3">
              <w:rPr>
                <w:rFonts w:asciiTheme="minorHAnsi" w:eastAsiaTheme="minorEastAsia" w:hAnsiTheme="minorHAnsi"/>
                <w:noProof/>
                <w:sz w:val="22"/>
                <w:lang w:eastAsia="nl-NL"/>
              </w:rPr>
              <w:tab/>
            </w:r>
            <w:r w:rsidR="00897AB3" w:rsidRPr="006602EE">
              <w:rPr>
                <w:rStyle w:val="Hyperlink"/>
                <w:noProof/>
              </w:rPr>
              <w:t>Waarom deze guidance?</w:t>
            </w:r>
            <w:r w:rsidR="00897AB3">
              <w:rPr>
                <w:noProof/>
                <w:webHidden/>
              </w:rPr>
              <w:tab/>
            </w:r>
            <w:r w:rsidR="00897AB3">
              <w:rPr>
                <w:noProof/>
                <w:webHidden/>
              </w:rPr>
              <w:fldChar w:fldCharType="begin"/>
            </w:r>
            <w:r w:rsidR="00897AB3">
              <w:rPr>
                <w:noProof/>
                <w:webHidden/>
              </w:rPr>
              <w:instrText xml:space="preserve"> PAGEREF _Toc483922727 \h </w:instrText>
            </w:r>
            <w:r w:rsidR="00897AB3">
              <w:rPr>
                <w:noProof/>
                <w:webHidden/>
              </w:rPr>
            </w:r>
            <w:r w:rsidR="00897AB3">
              <w:rPr>
                <w:noProof/>
                <w:webHidden/>
              </w:rPr>
              <w:fldChar w:fldCharType="separate"/>
            </w:r>
            <w:r w:rsidR="00897AB3">
              <w:rPr>
                <w:noProof/>
                <w:webHidden/>
              </w:rPr>
              <w:t>4</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28" w:history="1">
            <w:r w:rsidR="00897AB3" w:rsidRPr="006602EE">
              <w:rPr>
                <w:rStyle w:val="Hyperlink"/>
                <w:noProof/>
                <w14:scene3d>
                  <w14:camera w14:prst="orthographicFront"/>
                  <w14:lightRig w14:rig="threePt" w14:dir="t">
                    <w14:rot w14:lat="0" w14:lon="0" w14:rev="0"/>
                  </w14:lightRig>
                </w14:scene3d>
              </w:rPr>
              <w:t>1.2</w:t>
            </w:r>
            <w:r w:rsidR="00897AB3">
              <w:rPr>
                <w:rFonts w:asciiTheme="minorHAnsi" w:eastAsiaTheme="minorEastAsia" w:hAnsiTheme="minorHAnsi"/>
                <w:noProof/>
                <w:sz w:val="22"/>
                <w:lang w:eastAsia="nl-NL"/>
              </w:rPr>
              <w:tab/>
            </w:r>
            <w:r w:rsidR="00897AB3" w:rsidRPr="006602EE">
              <w:rPr>
                <w:rStyle w:val="Hyperlink"/>
                <w:noProof/>
              </w:rPr>
              <w:t>Transactiemonitoring: wettelijke verplichting tot voortdurende controle op transacties</w:t>
            </w:r>
            <w:r w:rsidR="00897AB3">
              <w:rPr>
                <w:noProof/>
                <w:webHidden/>
              </w:rPr>
              <w:tab/>
            </w:r>
            <w:r w:rsidR="00897AB3">
              <w:rPr>
                <w:noProof/>
                <w:webHidden/>
              </w:rPr>
              <w:fldChar w:fldCharType="begin"/>
            </w:r>
            <w:r w:rsidR="00897AB3">
              <w:rPr>
                <w:noProof/>
                <w:webHidden/>
              </w:rPr>
              <w:instrText xml:space="preserve"> PAGEREF _Toc483922728 \h </w:instrText>
            </w:r>
            <w:r w:rsidR="00897AB3">
              <w:rPr>
                <w:noProof/>
                <w:webHidden/>
              </w:rPr>
            </w:r>
            <w:r w:rsidR="00897AB3">
              <w:rPr>
                <w:noProof/>
                <w:webHidden/>
              </w:rPr>
              <w:fldChar w:fldCharType="separate"/>
            </w:r>
            <w:r w:rsidR="00897AB3">
              <w:rPr>
                <w:noProof/>
                <w:webHidden/>
              </w:rPr>
              <w:t>4</w:t>
            </w:r>
            <w:r w:rsidR="00897AB3">
              <w:rPr>
                <w:noProof/>
                <w:webHidden/>
              </w:rPr>
              <w:fldChar w:fldCharType="end"/>
            </w:r>
          </w:hyperlink>
        </w:p>
        <w:p w:rsidR="00897AB3" w:rsidRDefault="003C3E70">
          <w:pPr>
            <w:pStyle w:val="Inhopg1"/>
            <w:rPr>
              <w:rFonts w:asciiTheme="minorHAnsi" w:eastAsiaTheme="minorEastAsia" w:hAnsiTheme="minorHAnsi"/>
              <w:b w:val="0"/>
              <w:noProof/>
              <w:lang w:eastAsia="nl-NL"/>
            </w:rPr>
          </w:pPr>
          <w:hyperlink w:anchor="_Toc483922729" w:history="1">
            <w:r w:rsidR="00897AB3" w:rsidRPr="006602EE">
              <w:rPr>
                <w:rStyle w:val="Hyperlink"/>
                <w:noProof/>
              </w:rPr>
              <w:t>2.</w:t>
            </w:r>
            <w:r w:rsidR="00897AB3">
              <w:rPr>
                <w:rFonts w:asciiTheme="minorHAnsi" w:eastAsiaTheme="minorEastAsia" w:hAnsiTheme="minorHAnsi"/>
                <w:b w:val="0"/>
                <w:noProof/>
                <w:lang w:eastAsia="nl-NL"/>
              </w:rPr>
              <w:tab/>
            </w:r>
            <w:r w:rsidR="00897AB3" w:rsidRPr="006602EE">
              <w:rPr>
                <w:rStyle w:val="Hyperlink"/>
                <w:noProof/>
              </w:rPr>
              <w:t>Transactiemonitoring</w:t>
            </w:r>
            <w:r w:rsidR="00897AB3">
              <w:rPr>
                <w:noProof/>
                <w:webHidden/>
              </w:rPr>
              <w:tab/>
            </w:r>
            <w:r w:rsidR="00897AB3">
              <w:rPr>
                <w:noProof/>
                <w:webHidden/>
              </w:rPr>
              <w:fldChar w:fldCharType="begin"/>
            </w:r>
            <w:r w:rsidR="00897AB3">
              <w:rPr>
                <w:noProof/>
                <w:webHidden/>
              </w:rPr>
              <w:instrText xml:space="preserve"> PAGEREF _Toc483922729 \h </w:instrText>
            </w:r>
            <w:r w:rsidR="00897AB3">
              <w:rPr>
                <w:noProof/>
                <w:webHidden/>
              </w:rPr>
            </w:r>
            <w:r w:rsidR="00897AB3">
              <w:rPr>
                <w:noProof/>
                <w:webHidden/>
              </w:rPr>
              <w:fldChar w:fldCharType="separate"/>
            </w:r>
            <w:r w:rsidR="00897AB3">
              <w:rPr>
                <w:noProof/>
                <w:webHidden/>
              </w:rPr>
              <w:t>6</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30" w:history="1">
            <w:r w:rsidR="00897AB3" w:rsidRPr="006602EE">
              <w:rPr>
                <w:rStyle w:val="Hyperlink"/>
                <w:noProof/>
                <w14:scene3d>
                  <w14:camera w14:prst="orthographicFront"/>
                  <w14:lightRig w14:rig="threePt" w14:dir="t">
                    <w14:rot w14:lat="0" w14:lon="0" w14:rev="0"/>
                  </w14:lightRig>
                </w14:scene3d>
              </w:rPr>
              <w:t>2.1</w:t>
            </w:r>
            <w:r w:rsidR="00897AB3">
              <w:rPr>
                <w:rFonts w:asciiTheme="minorHAnsi" w:eastAsiaTheme="minorEastAsia" w:hAnsiTheme="minorHAnsi"/>
                <w:noProof/>
                <w:sz w:val="22"/>
                <w:lang w:eastAsia="nl-NL"/>
              </w:rPr>
              <w:tab/>
            </w:r>
            <w:r w:rsidR="00897AB3" w:rsidRPr="006602EE">
              <w:rPr>
                <w:rStyle w:val="Hyperlink"/>
                <w:noProof/>
              </w:rPr>
              <w:t>Het transactiemonitoringsproces</w:t>
            </w:r>
            <w:r w:rsidR="00897AB3">
              <w:rPr>
                <w:noProof/>
                <w:webHidden/>
              </w:rPr>
              <w:tab/>
            </w:r>
            <w:r w:rsidR="00897AB3">
              <w:rPr>
                <w:noProof/>
                <w:webHidden/>
              </w:rPr>
              <w:fldChar w:fldCharType="begin"/>
            </w:r>
            <w:r w:rsidR="00897AB3">
              <w:rPr>
                <w:noProof/>
                <w:webHidden/>
              </w:rPr>
              <w:instrText xml:space="preserve"> PAGEREF _Toc483922730 \h </w:instrText>
            </w:r>
            <w:r w:rsidR="00897AB3">
              <w:rPr>
                <w:noProof/>
                <w:webHidden/>
              </w:rPr>
            </w:r>
            <w:r w:rsidR="00897AB3">
              <w:rPr>
                <w:noProof/>
                <w:webHidden/>
              </w:rPr>
              <w:fldChar w:fldCharType="separate"/>
            </w:r>
            <w:r w:rsidR="00897AB3">
              <w:rPr>
                <w:noProof/>
                <w:webHidden/>
              </w:rPr>
              <w:t>6</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31" w:history="1">
            <w:r w:rsidR="00897AB3" w:rsidRPr="006602EE">
              <w:rPr>
                <w:rStyle w:val="Hyperlink"/>
                <w:noProof/>
                <w14:scene3d>
                  <w14:camera w14:prst="orthographicFront"/>
                  <w14:lightRig w14:rig="threePt" w14:dir="t">
                    <w14:rot w14:lat="0" w14:lon="0" w14:rev="0"/>
                  </w14:lightRig>
                </w14:scene3d>
              </w:rPr>
              <w:t>2.2</w:t>
            </w:r>
            <w:r w:rsidR="00897AB3">
              <w:rPr>
                <w:rFonts w:asciiTheme="minorHAnsi" w:eastAsiaTheme="minorEastAsia" w:hAnsiTheme="minorHAnsi"/>
                <w:noProof/>
                <w:sz w:val="22"/>
                <w:lang w:eastAsia="nl-NL"/>
              </w:rPr>
              <w:tab/>
            </w:r>
            <w:r w:rsidR="00897AB3" w:rsidRPr="006602EE">
              <w:rPr>
                <w:rStyle w:val="Hyperlink"/>
                <w:noProof/>
              </w:rPr>
              <w:t>Volwassenheidsmodel</w:t>
            </w:r>
            <w:r w:rsidR="00897AB3">
              <w:rPr>
                <w:noProof/>
                <w:webHidden/>
              </w:rPr>
              <w:tab/>
            </w:r>
            <w:r w:rsidR="00897AB3">
              <w:rPr>
                <w:noProof/>
                <w:webHidden/>
              </w:rPr>
              <w:fldChar w:fldCharType="begin"/>
            </w:r>
            <w:r w:rsidR="00897AB3">
              <w:rPr>
                <w:noProof/>
                <w:webHidden/>
              </w:rPr>
              <w:instrText xml:space="preserve"> PAGEREF _Toc483922731 \h </w:instrText>
            </w:r>
            <w:r w:rsidR="00897AB3">
              <w:rPr>
                <w:noProof/>
                <w:webHidden/>
              </w:rPr>
            </w:r>
            <w:r w:rsidR="00897AB3">
              <w:rPr>
                <w:noProof/>
                <w:webHidden/>
              </w:rPr>
              <w:fldChar w:fldCharType="separate"/>
            </w:r>
            <w:r w:rsidR="00897AB3">
              <w:rPr>
                <w:noProof/>
                <w:webHidden/>
              </w:rPr>
              <w:t>7</w:t>
            </w:r>
            <w:r w:rsidR="00897AB3">
              <w:rPr>
                <w:noProof/>
                <w:webHidden/>
              </w:rPr>
              <w:fldChar w:fldCharType="end"/>
            </w:r>
          </w:hyperlink>
        </w:p>
        <w:p w:rsidR="00897AB3" w:rsidRDefault="003C3E70">
          <w:pPr>
            <w:pStyle w:val="Inhopg1"/>
            <w:rPr>
              <w:rFonts w:asciiTheme="minorHAnsi" w:eastAsiaTheme="minorEastAsia" w:hAnsiTheme="minorHAnsi"/>
              <w:b w:val="0"/>
              <w:noProof/>
              <w:lang w:eastAsia="nl-NL"/>
            </w:rPr>
          </w:pPr>
          <w:hyperlink w:anchor="_Toc483922732" w:history="1">
            <w:r w:rsidR="00897AB3" w:rsidRPr="006602EE">
              <w:rPr>
                <w:rStyle w:val="Hyperlink"/>
                <w:noProof/>
              </w:rPr>
              <w:t>3.</w:t>
            </w:r>
            <w:r w:rsidR="00897AB3">
              <w:rPr>
                <w:rFonts w:asciiTheme="minorHAnsi" w:eastAsiaTheme="minorEastAsia" w:hAnsiTheme="minorHAnsi"/>
                <w:b w:val="0"/>
                <w:noProof/>
                <w:lang w:eastAsia="nl-NL"/>
              </w:rPr>
              <w:tab/>
            </w:r>
            <w:r w:rsidR="00897AB3" w:rsidRPr="006602EE">
              <w:rPr>
                <w:rStyle w:val="Hyperlink"/>
                <w:noProof/>
              </w:rPr>
              <w:t>Guidance</w:t>
            </w:r>
            <w:r w:rsidR="00897AB3">
              <w:rPr>
                <w:noProof/>
                <w:webHidden/>
              </w:rPr>
              <w:tab/>
            </w:r>
            <w:r w:rsidR="00897AB3">
              <w:rPr>
                <w:noProof/>
                <w:webHidden/>
              </w:rPr>
              <w:fldChar w:fldCharType="begin"/>
            </w:r>
            <w:r w:rsidR="00897AB3">
              <w:rPr>
                <w:noProof/>
                <w:webHidden/>
              </w:rPr>
              <w:instrText xml:space="preserve"> PAGEREF _Toc483922732 \h </w:instrText>
            </w:r>
            <w:r w:rsidR="00897AB3">
              <w:rPr>
                <w:noProof/>
                <w:webHidden/>
              </w:rPr>
            </w:r>
            <w:r w:rsidR="00897AB3">
              <w:rPr>
                <w:noProof/>
                <w:webHidden/>
              </w:rPr>
              <w:fldChar w:fldCharType="separate"/>
            </w:r>
            <w:r w:rsidR="00897AB3">
              <w:rPr>
                <w:noProof/>
                <w:webHidden/>
              </w:rPr>
              <w:t>8</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33" w:history="1">
            <w:r w:rsidR="00897AB3" w:rsidRPr="006602EE">
              <w:rPr>
                <w:rStyle w:val="Hyperlink"/>
                <w:noProof/>
                <w14:scene3d>
                  <w14:camera w14:prst="orthographicFront"/>
                  <w14:lightRig w14:rig="threePt" w14:dir="t">
                    <w14:rot w14:lat="0" w14:lon="0" w14:rev="0"/>
                  </w14:lightRig>
                </w14:scene3d>
              </w:rPr>
              <w:t>3.1</w:t>
            </w:r>
            <w:r w:rsidR="00897AB3">
              <w:rPr>
                <w:rFonts w:asciiTheme="minorHAnsi" w:eastAsiaTheme="minorEastAsia" w:hAnsiTheme="minorHAnsi"/>
                <w:noProof/>
                <w:sz w:val="22"/>
                <w:lang w:eastAsia="nl-NL"/>
              </w:rPr>
              <w:tab/>
            </w:r>
            <w:r w:rsidR="00897AB3" w:rsidRPr="006602EE">
              <w:rPr>
                <w:rStyle w:val="Hyperlink"/>
                <w:noProof/>
              </w:rPr>
              <w:t>SIRA</w:t>
            </w:r>
            <w:r w:rsidR="00897AB3">
              <w:rPr>
                <w:noProof/>
                <w:webHidden/>
              </w:rPr>
              <w:tab/>
            </w:r>
            <w:r w:rsidR="00897AB3">
              <w:rPr>
                <w:noProof/>
                <w:webHidden/>
              </w:rPr>
              <w:fldChar w:fldCharType="begin"/>
            </w:r>
            <w:r w:rsidR="00897AB3">
              <w:rPr>
                <w:noProof/>
                <w:webHidden/>
              </w:rPr>
              <w:instrText xml:space="preserve"> PAGEREF _Toc483922733 \h </w:instrText>
            </w:r>
            <w:r w:rsidR="00897AB3">
              <w:rPr>
                <w:noProof/>
                <w:webHidden/>
              </w:rPr>
            </w:r>
            <w:r w:rsidR="00897AB3">
              <w:rPr>
                <w:noProof/>
                <w:webHidden/>
              </w:rPr>
              <w:fldChar w:fldCharType="separate"/>
            </w:r>
            <w:r w:rsidR="00897AB3">
              <w:rPr>
                <w:noProof/>
                <w:webHidden/>
              </w:rPr>
              <w:t>8</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34" w:history="1">
            <w:r w:rsidR="00897AB3" w:rsidRPr="006602EE">
              <w:rPr>
                <w:rStyle w:val="Hyperlink"/>
                <w:noProof/>
              </w:rPr>
              <w:t>3.1.1</w:t>
            </w:r>
            <w:r w:rsidR="00897AB3">
              <w:rPr>
                <w:rFonts w:asciiTheme="minorHAnsi" w:eastAsiaTheme="minorEastAsia" w:hAnsiTheme="minorHAnsi"/>
                <w:noProof/>
                <w:sz w:val="22"/>
                <w:lang w:eastAsia="nl-NL"/>
              </w:rPr>
              <w:tab/>
            </w:r>
            <w:r w:rsidR="00897AB3" w:rsidRPr="006602EE">
              <w:rPr>
                <w:rStyle w:val="Hyperlink"/>
                <w:noProof/>
              </w:rPr>
              <w:t>Risicoprofiel: verwacht transactiegedrag</w:t>
            </w:r>
            <w:r w:rsidR="00897AB3">
              <w:rPr>
                <w:noProof/>
                <w:webHidden/>
              </w:rPr>
              <w:tab/>
            </w:r>
            <w:r w:rsidR="00897AB3">
              <w:rPr>
                <w:noProof/>
                <w:webHidden/>
              </w:rPr>
              <w:fldChar w:fldCharType="begin"/>
            </w:r>
            <w:r w:rsidR="00897AB3">
              <w:rPr>
                <w:noProof/>
                <w:webHidden/>
              </w:rPr>
              <w:instrText xml:space="preserve"> PAGEREF _Toc483922734 \h </w:instrText>
            </w:r>
            <w:r w:rsidR="00897AB3">
              <w:rPr>
                <w:noProof/>
                <w:webHidden/>
              </w:rPr>
            </w:r>
            <w:r w:rsidR="00897AB3">
              <w:rPr>
                <w:noProof/>
                <w:webHidden/>
              </w:rPr>
              <w:fldChar w:fldCharType="separate"/>
            </w:r>
            <w:r w:rsidR="00897AB3">
              <w:rPr>
                <w:noProof/>
                <w:webHidden/>
              </w:rPr>
              <w:t>9</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35" w:history="1">
            <w:r w:rsidR="00897AB3" w:rsidRPr="006602EE">
              <w:rPr>
                <w:rStyle w:val="Hyperlink"/>
                <w:noProof/>
                <w14:scene3d>
                  <w14:camera w14:prst="orthographicFront"/>
                  <w14:lightRig w14:rig="threePt" w14:dir="t">
                    <w14:rot w14:lat="0" w14:lon="0" w14:rev="0"/>
                  </w14:lightRig>
                </w14:scene3d>
              </w:rPr>
              <w:t>3.2</w:t>
            </w:r>
            <w:r w:rsidR="00897AB3">
              <w:rPr>
                <w:rFonts w:asciiTheme="minorHAnsi" w:eastAsiaTheme="minorEastAsia" w:hAnsiTheme="minorHAnsi"/>
                <w:noProof/>
                <w:sz w:val="22"/>
                <w:lang w:eastAsia="nl-NL"/>
              </w:rPr>
              <w:tab/>
            </w:r>
            <w:r w:rsidR="00897AB3" w:rsidRPr="006602EE">
              <w:rPr>
                <w:rStyle w:val="Hyperlink"/>
                <w:noProof/>
              </w:rPr>
              <w:t>Beleid en procedures</w:t>
            </w:r>
            <w:r w:rsidR="00897AB3">
              <w:rPr>
                <w:noProof/>
                <w:webHidden/>
              </w:rPr>
              <w:tab/>
            </w:r>
            <w:r w:rsidR="00897AB3">
              <w:rPr>
                <w:noProof/>
                <w:webHidden/>
              </w:rPr>
              <w:fldChar w:fldCharType="begin"/>
            </w:r>
            <w:r w:rsidR="00897AB3">
              <w:rPr>
                <w:noProof/>
                <w:webHidden/>
              </w:rPr>
              <w:instrText xml:space="preserve"> PAGEREF _Toc483922735 \h </w:instrText>
            </w:r>
            <w:r w:rsidR="00897AB3">
              <w:rPr>
                <w:noProof/>
                <w:webHidden/>
              </w:rPr>
            </w:r>
            <w:r w:rsidR="00897AB3">
              <w:rPr>
                <w:noProof/>
                <w:webHidden/>
              </w:rPr>
              <w:fldChar w:fldCharType="separate"/>
            </w:r>
            <w:r w:rsidR="00897AB3">
              <w:rPr>
                <w:noProof/>
                <w:webHidden/>
              </w:rPr>
              <w:t>10</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36" w:history="1">
            <w:r w:rsidR="00897AB3" w:rsidRPr="006602EE">
              <w:rPr>
                <w:rStyle w:val="Hyperlink"/>
                <w:noProof/>
                <w14:scene3d>
                  <w14:camera w14:prst="orthographicFront"/>
                  <w14:lightRig w14:rig="threePt" w14:dir="t">
                    <w14:rot w14:lat="0" w14:lon="0" w14:rev="0"/>
                  </w14:lightRig>
                </w14:scene3d>
              </w:rPr>
              <w:t>3.3</w:t>
            </w:r>
            <w:r w:rsidR="00897AB3">
              <w:rPr>
                <w:rFonts w:asciiTheme="minorHAnsi" w:eastAsiaTheme="minorEastAsia" w:hAnsiTheme="minorHAnsi"/>
                <w:noProof/>
                <w:sz w:val="22"/>
                <w:lang w:eastAsia="nl-NL"/>
              </w:rPr>
              <w:tab/>
            </w:r>
            <w:r w:rsidR="00897AB3" w:rsidRPr="006602EE">
              <w:rPr>
                <w:rStyle w:val="Hyperlink"/>
                <w:noProof/>
              </w:rPr>
              <w:t>Het transactiemonitoringssysteem</w:t>
            </w:r>
            <w:r w:rsidR="00897AB3">
              <w:rPr>
                <w:noProof/>
                <w:webHidden/>
              </w:rPr>
              <w:tab/>
            </w:r>
            <w:r w:rsidR="00897AB3">
              <w:rPr>
                <w:noProof/>
                <w:webHidden/>
              </w:rPr>
              <w:fldChar w:fldCharType="begin"/>
            </w:r>
            <w:r w:rsidR="00897AB3">
              <w:rPr>
                <w:noProof/>
                <w:webHidden/>
              </w:rPr>
              <w:instrText xml:space="preserve"> PAGEREF _Toc483922736 \h </w:instrText>
            </w:r>
            <w:r w:rsidR="00897AB3">
              <w:rPr>
                <w:noProof/>
                <w:webHidden/>
              </w:rPr>
            </w:r>
            <w:r w:rsidR="00897AB3">
              <w:rPr>
                <w:noProof/>
                <w:webHidden/>
              </w:rPr>
              <w:fldChar w:fldCharType="separate"/>
            </w:r>
            <w:r w:rsidR="00897AB3">
              <w:rPr>
                <w:noProof/>
                <w:webHidden/>
              </w:rPr>
              <w:t>10</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37" w:history="1">
            <w:r w:rsidR="00897AB3" w:rsidRPr="006602EE">
              <w:rPr>
                <w:rStyle w:val="Hyperlink"/>
                <w:noProof/>
              </w:rPr>
              <w:t>3.3.1</w:t>
            </w:r>
            <w:r w:rsidR="00897AB3">
              <w:rPr>
                <w:rFonts w:asciiTheme="minorHAnsi" w:eastAsiaTheme="minorEastAsia" w:hAnsiTheme="minorHAnsi"/>
                <w:noProof/>
                <w:sz w:val="22"/>
                <w:lang w:eastAsia="nl-NL"/>
              </w:rPr>
              <w:tab/>
            </w:r>
            <w:r w:rsidR="00897AB3" w:rsidRPr="006602EE">
              <w:rPr>
                <w:rStyle w:val="Hyperlink"/>
                <w:noProof/>
              </w:rPr>
              <w:t>Gebruik van red flags/scenario’s</w:t>
            </w:r>
            <w:r w:rsidR="00897AB3">
              <w:rPr>
                <w:noProof/>
                <w:webHidden/>
              </w:rPr>
              <w:tab/>
            </w:r>
            <w:r w:rsidR="00897AB3">
              <w:rPr>
                <w:noProof/>
                <w:webHidden/>
              </w:rPr>
              <w:fldChar w:fldCharType="begin"/>
            </w:r>
            <w:r w:rsidR="00897AB3">
              <w:rPr>
                <w:noProof/>
                <w:webHidden/>
              </w:rPr>
              <w:instrText xml:space="preserve"> PAGEREF _Toc483922737 \h </w:instrText>
            </w:r>
            <w:r w:rsidR="00897AB3">
              <w:rPr>
                <w:noProof/>
                <w:webHidden/>
              </w:rPr>
            </w:r>
            <w:r w:rsidR="00897AB3">
              <w:rPr>
                <w:noProof/>
                <w:webHidden/>
              </w:rPr>
              <w:fldChar w:fldCharType="separate"/>
            </w:r>
            <w:r w:rsidR="00897AB3">
              <w:rPr>
                <w:noProof/>
                <w:webHidden/>
              </w:rPr>
              <w:t>11</w:t>
            </w:r>
            <w:r w:rsidR="00897AB3">
              <w:rPr>
                <w:noProof/>
                <w:webHidden/>
              </w:rPr>
              <w:fldChar w:fldCharType="end"/>
            </w:r>
          </w:hyperlink>
          <w:bookmarkStart w:id="0" w:name="_GoBack"/>
          <w:bookmarkEnd w:id="0"/>
        </w:p>
        <w:p w:rsidR="00897AB3" w:rsidRDefault="003C3E70">
          <w:pPr>
            <w:pStyle w:val="Inhopg3"/>
            <w:rPr>
              <w:rFonts w:asciiTheme="minorHAnsi" w:eastAsiaTheme="minorEastAsia" w:hAnsiTheme="minorHAnsi"/>
              <w:noProof/>
              <w:sz w:val="22"/>
              <w:lang w:eastAsia="nl-NL"/>
            </w:rPr>
          </w:pPr>
          <w:hyperlink w:anchor="_Toc483922738" w:history="1">
            <w:r w:rsidR="00897AB3" w:rsidRPr="006602EE">
              <w:rPr>
                <w:rStyle w:val="Hyperlink"/>
                <w:noProof/>
              </w:rPr>
              <w:t>3.3.2</w:t>
            </w:r>
            <w:r w:rsidR="00897AB3">
              <w:rPr>
                <w:rFonts w:asciiTheme="minorHAnsi" w:eastAsiaTheme="minorEastAsia" w:hAnsiTheme="minorHAnsi"/>
                <w:noProof/>
                <w:sz w:val="22"/>
                <w:lang w:eastAsia="nl-NL"/>
              </w:rPr>
              <w:tab/>
            </w:r>
            <w:r w:rsidR="00897AB3" w:rsidRPr="006602EE">
              <w:rPr>
                <w:rStyle w:val="Hyperlink"/>
                <w:noProof/>
              </w:rPr>
              <w:t>Gebruik van business rules</w:t>
            </w:r>
            <w:r w:rsidR="00897AB3">
              <w:rPr>
                <w:noProof/>
                <w:webHidden/>
              </w:rPr>
              <w:tab/>
            </w:r>
            <w:r w:rsidR="00897AB3">
              <w:rPr>
                <w:noProof/>
                <w:webHidden/>
              </w:rPr>
              <w:fldChar w:fldCharType="begin"/>
            </w:r>
            <w:r w:rsidR="00897AB3">
              <w:rPr>
                <w:noProof/>
                <w:webHidden/>
              </w:rPr>
              <w:instrText xml:space="preserve"> PAGEREF _Toc483922738 \h </w:instrText>
            </w:r>
            <w:r w:rsidR="00897AB3">
              <w:rPr>
                <w:noProof/>
                <w:webHidden/>
              </w:rPr>
            </w:r>
            <w:r w:rsidR="00897AB3">
              <w:rPr>
                <w:noProof/>
                <w:webHidden/>
              </w:rPr>
              <w:fldChar w:fldCharType="separate"/>
            </w:r>
            <w:r w:rsidR="00897AB3">
              <w:rPr>
                <w:noProof/>
                <w:webHidden/>
              </w:rPr>
              <w:t>11</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39" w:history="1">
            <w:r w:rsidR="00897AB3" w:rsidRPr="006602EE">
              <w:rPr>
                <w:rStyle w:val="Hyperlink"/>
                <w:noProof/>
              </w:rPr>
              <w:t>3.3.3</w:t>
            </w:r>
            <w:r w:rsidR="00897AB3">
              <w:rPr>
                <w:rFonts w:asciiTheme="minorHAnsi" w:eastAsiaTheme="minorEastAsia" w:hAnsiTheme="minorHAnsi"/>
                <w:noProof/>
                <w:sz w:val="22"/>
                <w:lang w:eastAsia="nl-NL"/>
              </w:rPr>
              <w:tab/>
            </w:r>
            <w:r w:rsidR="00897AB3" w:rsidRPr="006602EE">
              <w:rPr>
                <w:rStyle w:val="Hyperlink"/>
                <w:noProof/>
              </w:rPr>
              <w:t>Business rules in relatie tot terrorismefinanciering</w:t>
            </w:r>
            <w:r w:rsidR="00897AB3">
              <w:rPr>
                <w:noProof/>
                <w:webHidden/>
              </w:rPr>
              <w:tab/>
            </w:r>
            <w:r w:rsidR="00897AB3">
              <w:rPr>
                <w:noProof/>
                <w:webHidden/>
              </w:rPr>
              <w:fldChar w:fldCharType="begin"/>
            </w:r>
            <w:r w:rsidR="00897AB3">
              <w:rPr>
                <w:noProof/>
                <w:webHidden/>
              </w:rPr>
              <w:instrText xml:space="preserve"> PAGEREF _Toc483922739 \h </w:instrText>
            </w:r>
            <w:r w:rsidR="00897AB3">
              <w:rPr>
                <w:noProof/>
                <w:webHidden/>
              </w:rPr>
            </w:r>
            <w:r w:rsidR="00897AB3">
              <w:rPr>
                <w:noProof/>
                <w:webHidden/>
              </w:rPr>
              <w:fldChar w:fldCharType="separate"/>
            </w:r>
            <w:r w:rsidR="00897AB3">
              <w:rPr>
                <w:noProof/>
                <w:webHidden/>
              </w:rPr>
              <w:t>12</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0" w:history="1">
            <w:r w:rsidR="00897AB3" w:rsidRPr="006602EE">
              <w:rPr>
                <w:rStyle w:val="Hyperlink"/>
                <w:noProof/>
              </w:rPr>
              <w:t>3.3.4</w:t>
            </w:r>
            <w:r w:rsidR="00897AB3">
              <w:rPr>
                <w:rFonts w:asciiTheme="minorHAnsi" w:eastAsiaTheme="minorEastAsia" w:hAnsiTheme="minorHAnsi"/>
                <w:noProof/>
                <w:sz w:val="22"/>
                <w:lang w:eastAsia="nl-NL"/>
              </w:rPr>
              <w:tab/>
            </w:r>
            <w:r w:rsidR="00897AB3" w:rsidRPr="006602EE">
              <w:rPr>
                <w:rStyle w:val="Hyperlink"/>
                <w:noProof/>
              </w:rPr>
              <w:t>Periodieke evaluatie van business rules: back testing</w:t>
            </w:r>
            <w:r w:rsidR="00897AB3">
              <w:rPr>
                <w:noProof/>
                <w:webHidden/>
              </w:rPr>
              <w:tab/>
            </w:r>
            <w:r w:rsidR="00897AB3">
              <w:rPr>
                <w:noProof/>
                <w:webHidden/>
              </w:rPr>
              <w:fldChar w:fldCharType="begin"/>
            </w:r>
            <w:r w:rsidR="00897AB3">
              <w:rPr>
                <w:noProof/>
                <w:webHidden/>
              </w:rPr>
              <w:instrText xml:space="preserve"> PAGEREF _Toc483922740 \h </w:instrText>
            </w:r>
            <w:r w:rsidR="00897AB3">
              <w:rPr>
                <w:noProof/>
                <w:webHidden/>
              </w:rPr>
            </w:r>
            <w:r w:rsidR="00897AB3">
              <w:rPr>
                <w:noProof/>
                <w:webHidden/>
              </w:rPr>
              <w:fldChar w:fldCharType="separate"/>
            </w:r>
            <w:r w:rsidR="00897AB3">
              <w:rPr>
                <w:noProof/>
                <w:webHidden/>
              </w:rPr>
              <w:t>13</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1" w:history="1">
            <w:r w:rsidR="00897AB3" w:rsidRPr="006602EE">
              <w:rPr>
                <w:rStyle w:val="Hyperlink"/>
                <w:noProof/>
              </w:rPr>
              <w:t>3.3.5</w:t>
            </w:r>
            <w:r w:rsidR="00897AB3">
              <w:rPr>
                <w:rFonts w:asciiTheme="minorHAnsi" w:eastAsiaTheme="minorEastAsia" w:hAnsiTheme="minorHAnsi"/>
                <w:noProof/>
                <w:sz w:val="22"/>
                <w:lang w:eastAsia="nl-NL"/>
              </w:rPr>
              <w:tab/>
            </w:r>
            <w:r w:rsidR="00897AB3" w:rsidRPr="006602EE">
              <w:rPr>
                <w:rStyle w:val="Hyperlink"/>
                <w:noProof/>
              </w:rPr>
              <w:t>Data-analyse</w:t>
            </w:r>
            <w:r w:rsidR="00897AB3">
              <w:rPr>
                <w:noProof/>
                <w:webHidden/>
              </w:rPr>
              <w:tab/>
            </w:r>
            <w:r w:rsidR="00897AB3">
              <w:rPr>
                <w:noProof/>
                <w:webHidden/>
              </w:rPr>
              <w:fldChar w:fldCharType="begin"/>
            </w:r>
            <w:r w:rsidR="00897AB3">
              <w:rPr>
                <w:noProof/>
                <w:webHidden/>
              </w:rPr>
              <w:instrText xml:space="preserve"> PAGEREF _Toc483922741 \h </w:instrText>
            </w:r>
            <w:r w:rsidR="00897AB3">
              <w:rPr>
                <w:noProof/>
                <w:webHidden/>
              </w:rPr>
            </w:r>
            <w:r w:rsidR="00897AB3">
              <w:rPr>
                <w:noProof/>
                <w:webHidden/>
              </w:rPr>
              <w:fldChar w:fldCharType="separate"/>
            </w:r>
            <w:r w:rsidR="00897AB3">
              <w:rPr>
                <w:noProof/>
                <w:webHidden/>
              </w:rPr>
              <w:t>13</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2" w:history="1">
            <w:r w:rsidR="00897AB3" w:rsidRPr="006602EE">
              <w:rPr>
                <w:rStyle w:val="Hyperlink"/>
                <w:noProof/>
              </w:rPr>
              <w:t>3.3.6</w:t>
            </w:r>
            <w:r w:rsidR="00897AB3">
              <w:rPr>
                <w:rFonts w:asciiTheme="minorHAnsi" w:eastAsiaTheme="minorEastAsia" w:hAnsiTheme="minorHAnsi"/>
                <w:noProof/>
                <w:sz w:val="22"/>
                <w:lang w:eastAsia="nl-NL"/>
              </w:rPr>
              <w:tab/>
            </w:r>
            <w:r w:rsidR="00897AB3" w:rsidRPr="006602EE">
              <w:rPr>
                <w:rStyle w:val="Hyperlink"/>
                <w:noProof/>
              </w:rPr>
              <w:t>Transactiepatroonanalyses</w:t>
            </w:r>
            <w:r w:rsidR="00897AB3">
              <w:rPr>
                <w:noProof/>
                <w:webHidden/>
              </w:rPr>
              <w:tab/>
            </w:r>
            <w:r w:rsidR="00897AB3">
              <w:rPr>
                <w:noProof/>
                <w:webHidden/>
              </w:rPr>
              <w:fldChar w:fldCharType="begin"/>
            </w:r>
            <w:r w:rsidR="00897AB3">
              <w:rPr>
                <w:noProof/>
                <w:webHidden/>
              </w:rPr>
              <w:instrText xml:space="preserve"> PAGEREF _Toc483922742 \h </w:instrText>
            </w:r>
            <w:r w:rsidR="00897AB3">
              <w:rPr>
                <w:noProof/>
                <w:webHidden/>
              </w:rPr>
            </w:r>
            <w:r w:rsidR="00897AB3">
              <w:rPr>
                <w:noProof/>
                <w:webHidden/>
              </w:rPr>
              <w:fldChar w:fldCharType="separate"/>
            </w:r>
            <w:r w:rsidR="00897AB3">
              <w:rPr>
                <w:noProof/>
                <w:webHidden/>
              </w:rPr>
              <w:t>13</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3" w:history="1">
            <w:r w:rsidR="00897AB3" w:rsidRPr="006602EE">
              <w:rPr>
                <w:rStyle w:val="Hyperlink"/>
                <w:noProof/>
              </w:rPr>
              <w:t>3.3.7</w:t>
            </w:r>
            <w:r w:rsidR="00897AB3">
              <w:rPr>
                <w:rFonts w:asciiTheme="minorHAnsi" w:eastAsiaTheme="minorEastAsia" w:hAnsiTheme="minorHAnsi"/>
                <w:noProof/>
                <w:sz w:val="22"/>
                <w:lang w:eastAsia="nl-NL"/>
              </w:rPr>
              <w:tab/>
            </w:r>
            <w:r w:rsidR="00897AB3" w:rsidRPr="006602EE">
              <w:rPr>
                <w:rStyle w:val="Hyperlink"/>
                <w:noProof/>
              </w:rPr>
              <w:t>IT-beheersingsmaatregelen transactiemonitoring</w:t>
            </w:r>
            <w:r w:rsidR="00897AB3">
              <w:rPr>
                <w:noProof/>
                <w:webHidden/>
              </w:rPr>
              <w:tab/>
            </w:r>
            <w:r w:rsidR="00897AB3">
              <w:rPr>
                <w:noProof/>
                <w:webHidden/>
              </w:rPr>
              <w:fldChar w:fldCharType="begin"/>
            </w:r>
            <w:r w:rsidR="00897AB3">
              <w:rPr>
                <w:noProof/>
                <w:webHidden/>
              </w:rPr>
              <w:instrText xml:space="preserve"> PAGEREF _Toc483922743 \h </w:instrText>
            </w:r>
            <w:r w:rsidR="00897AB3">
              <w:rPr>
                <w:noProof/>
                <w:webHidden/>
              </w:rPr>
            </w:r>
            <w:r w:rsidR="00897AB3">
              <w:rPr>
                <w:noProof/>
                <w:webHidden/>
              </w:rPr>
              <w:fldChar w:fldCharType="separate"/>
            </w:r>
            <w:r w:rsidR="00897AB3">
              <w:rPr>
                <w:noProof/>
                <w:webHidden/>
              </w:rPr>
              <w:t>14</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44" w:history="1">
            <w:r w:rsidR="00897AB3" w:rsidRPr="006602EE">
              <w:rPr>
                <w:rStyle w:val="Hyperlink"/>
                <w:noProof/>
                <w14:scene3d>
                  <w14:camera w14:prst="orthographicFront"/>
                  <w14:lightRig w14:rig="threePt" w14:dir="t">
                    <w14:rot w14:lat="0" w14:lon="0" w14:rev="0"/>
                  </w14:lightRig>
                </w14:scene3d>
              </w:rPr>
              <w:t>3.4</w:t>
            </w:r>
            <w:r w:rsidR="00897AB3">
              <w:rPr>
                <w:rFonts w:asciiTheme="minorHAnsi" w:eastAsiaTheme="minorEastAsia" w:hAnsiTheme="minorHAnsi"/>
                <w:noProof/>
                <w:sz w:val="22"/>
                <w:lang w:eastAsia="nl-NL"/>
              </w:rPr>
              <w:tab/>
            </w:r>
            <w:r w:rsidR="00897AB3" w:rsidRPr="006602EE">
              <w:rPr>
                <w:rStyle w:val="Hyperlink"/>
                <w:noProof/>
              </w:rPr>
              <w:t>Alertafhandelings- en meldproces</w:t>
            </w:r>
            <w:r w:rsidR="00897AB3">
              <w:rPr>
                <w:noProof/>
                <w:webHidden/>
              </w:rPr>
              <w:tab/>
            </w:r>
            <w:r w:rsidR="00897AB3">
              <w:rPr>
                <w:noProof/>
                <w:webHidden/>
              </w:rPr>
              <w:fldChar w:fldCharType="begin"/>
            </w:r>
            <w:r w:rsidR="00897AB3">
              <w:rPr>
                <w:noProof/>
                <w:webHidden/>
              </w:rPr>
              <w:instrText xml:space="preserve"> PAGEREF _Toc483922744 \h </w:instrText>
            </w:r>
            <w:r w:rsidR="00897AB3">
              <w:rPr>
                <w:noProof/>
                <w:webHidden/>
              </w:rPr>
            </w:r>
            <w:r w:rsidR="00897AB3">
              <w:rPr>
                <w:noProof/>
                <w:webHidden/>
              </w:rPr>
              <w:fldChar w:fldCharType="separate"/>
            </w:r>
            <w:r w:rsidR="00897AB3">
              <w:rPr>
                <w:noProof/>
                <w:webHidden/>
              </w:rPr>
              <w:t>14</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5" w:history="1">
            <w:r w:rsidR="00897AB3" w:rsidRPr="006602EE">
              <w:rPr>
                <w:rStyle w:val="Hyperlink"/>
                <w:noProof/>
              </w:rPr>
              <w:t>3.4.1</w:t>
            </w:r>
            <w:r w:rsidR="00897AB3">
              <w:rPr>
                <w:rFonts w:asciiTheme="minorHAnsi" w:eastAsiaTheme="minorEastAsia" w:hAnsiTheme="minorHAnsi"/>
                <w:noProof/>
                <w:sz w:val="22"/>
                <w:lang w:eastAsia="nl-NL"/>
              </w:rPr>
              <w:tab/>
            </w:r>
            <w:r w:rsidR="00897AB3" w:rsidRPr="006602EE">
              <w:rPr>
                <w:rStyle w:val="Hyperlink"/>
                <w:noProof/>
              </w:rPr>
              <w:t>Alertafhandelingsproces</w:t>
            </w:r>
            <w:r w:rsidR="00897AB3">
              <w:rPr>
                <w:noProof/>
                <w:webHidden/>
              </w:rPr>
              <w:tab/>
            </w:r>
            <w:r w:rsidR="00897AB3">
              <w:rPr>
                <w:noProof/>
                <w:webHidden/>
              </w:rPr>
              <w:fldChar w:fldCharType="begin"/>
            </w:r>
            <w:r w:rsidR="00897AB3">
              <w:rPr>
                <w:noProof/>
                <w:webHidden/>
              </w:rPr>
              <w:instrText xml:space="preserve"> PAGEREF _Toc483922745 \h </w:instrText>
            </w:r>
            <w:r w:rsidR="00897AB3">
              <w:rPr>
                <w:noProof/>
                <w:webHidden/>
              </w:rPr>
            </w:r>
            <w:r w:rsidR="00897AB3">
              <w:rPr>
                <w:noProof/>
                <w:webHidden/>
              </w:rPr>
              <w:fldChar w:fldCharType="separate"/>
            </w:r>
            <w:r w:rsidR="00897AB3">
              <w:rPr>
                <w:noProof/>
                <w:webHidden/>
              </w:rPr>
              <w:t>14</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6" w:history="1">
            <w:r w:rsidR="00897AB3" w:rsidRPr="006602EE">
              <w:rPr>
                <w:rStyle w:val="Hyperlink"/>
                <w:noProof/>
              </w:rPr>
              <w:t>3.4.2</w:t>
            </w:r>
            <w:r w:rsidR="00897AB3">
              <w:rPr>
                <w:rFonts w:asciiTheme="minorHAnsi" w:eastAsiaTheme="minorEastAsia" w:hAnsiTheme="minorHAnsi"/>
                <w:noProof/>
                <w:sz w:val="22"/>
                <w:lang w:eastAsia="nl-NL"/>
              </w:rPr>
              <w:tab/>
            </w:r>
            <w:r w:rsidR="00897AB3" w:rsidRPr="006602EE">
              <w:rPr>
                <w:rStyle w:val="Hyperlink"/>
                <w:noProof/>
              </w:rPr>
              <w:t>Capaciteit en middelen om alerts te beoordelen</w:t>
            </w:r>
            <w:r w:rsidR="00897AB3">
              <w:rPr>
                <w:noProof/>
                <w:webHidden/>
              </w:rPr>
              <w:tab/>
            </w:r>
            <w:r w:rsidR="00897AB3">
              <w:rPr>
                <w:noProof/>
                <w:webHidden/>
              </w:rPr>
              <w:fldChar w:fldCharType="begin"/>
            </w:r>
            <w:r w:rsidR="00897AB3">
              <w:rPr>
                <w:noProof/>
                <w:webHidden/>
              </w:rPr>
              <w:instrText xml:space="preserve"> PAGEREF _Toc483922746 \h </w:instrText>
            </w:r>
            <w:r w:rsidR="00897AB3">
              <w:rPr>
                <w:noProof/>
                <w:webHidden/>
              </w:rPr>
            </w:r>
            <w:r w:rsidR="00897AB3">
              <w:rPr>
                <w:noProof/>
                <w:webHidden/>
              </w:rPr>
              <w:fldChar w:fldCharType="separate"/>
            </w:r>
            <w:r w:rsidR="00897AB3">
              <w:rPr>
                <w:noProof/>
                <w:webHidden/>
              </w:rPr>
              <w:t>15</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7" w:history="1">
            <w:r w:rsidR="00897AB3" w:rsidRPr="006602EE">
              <w:rPr>
                <w:rStyle w:val="Hyperlink"/>
                <w:noProof/>
              </w:rPr>
              <w:t>3.4.3</w:t>
            </w:r>
            <w:r w:rsidR="00897AB3">
              <w:rPr>
                <w:rFonts w:asciiTheme="minorHAnsi" w:eastAsiaTheme="minorEastAsia" w:hAnsiTheme="minorHAnsi"/>
                <w:noProof/>
                <w:sz w:val="22"/>
                <w:lang w:eastAsia="nl-NL"/>
              </w:rPr>
              <w:tab/>
            </w:r>
            <w:r w:rsidR="00897AB3" w:rsidRPr="006602EE">
              <w:rPr>
                <w:rStyle w:val="Hyperlink"/>
                <w:noProof/>
              </w:rPr>
              <w:t>Meldproces</w:t>
            </w:r>
            <w:r w:rsidR="00897AB3">
              <w:rPr>
                <w:noProof/>
                <w:webHidden/>
              </w:rPr>
              <w:tab/>
            </w:r>
            <w:r w:rsidR="00897AB3">
              <w:rPr>
                <w:noProof/>
                <w:webHidden/>
              </w:rPr>
              <w:fldChar w:fldCharType="begin"/>
            </w:r>
            <w:r w:rsidR="00897AB3">
              <w:rPr>
                <w:noProof/>
                <w:webHidden/>
              </w:rPr>
              <w:instrText xml:space="preserve"> PAGEREF _Toc483922747 \h </w:instrText>
            </w:r>
            <w:r w:rsidR="00897AB3">
              <w:rPr>
                <w:noProof/>
                <w:webHidden/>
              </w:rPr>
            </w:r>
            <w:r w:rsidR="00897AB3">
              <w:rPr>
                <w:noProof/>
                <w:webHidden/>
              </w:rPr>
              <w:fldChar w:fldCharType="separate"/>
            </w:r>
            <w:r w:rsidR="00897AB3">
              <w:rPr>
                <w:noProof/>
                <w:webHidden/>
              </w:rPr>
              <w:t>15</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8" w:history="1">
            <w:r w:rsidR="00897AB3" w:rsidRPr="006602EE">
              <w:rPr>
                <w:rStyle w:val="Hyperlink"/>
                <w:noProof/>
              </w:rPr>
              <w:t>3.4.4</w:t>
            </w:r>
            <w:r w:rsidR="00897AB3">
              <w:rPr>
                <w:rFonts w:asciiTheme="minorHAnsi" w:eastAsiaTheme="minorEastAsia" w:hAnsiTheme="minorHAnsi"/>
                <w:noProof/>
                <w:sz w:val="22"/>
                <w:lang w:eastAsia="nl-NL"/>
              </w:rPr>
              <w:tab/>
            </w:r>
            <w:r w:rsidR="00897AB3" w:rsidRPr="006602EE">
              <w:rPr>
                <w:rStyle w:val="Hyperlink"/>
                <w:noProof/>
              </w:rPr>
              <w:t>Heroverwegen risicoclassificatie cliënt</w:t>
            </w:r>
            <w:r w:rsidR="00897AB3">
              <w:rPr>
                <w:noProof/>
                <w:webHidden/>
              </w:rPr>
              <w:tab/>
            </w:r>
            <w:r w:rsidR="00897AB3">
              <w:rPr>
                <w:noProof/>
                <w:webHidden/>
              </w:rPr>
              <w:fldChar w:fldCharType="begin"/>
            </w:r>
            <w:r w:rsidR="00897AB3">
              <w:rPr>
                <w:noProof/>
                <w:webHidden/>
              </w:rPr>
              <w:instrText xml:space="preserve"> PAGEREF _Toc483922748 \h </w:instrText>
            </w:r>
            <w:r w:rsidR="00897AB3">
              <w:rPr>
                <w:noProof/>
                <w:webHidden/>
              </w:rPr>
            </w:r>
            <w:r w:rsidR="00897AB3">
              <w:rPr>
                <w:noProof/>
                <w:webHidden/>
              </w:rPr>
              <w:fldChar w:fldCharType="separate"/>
            </w:r>
            <w:r w:rsidR="00897AB3">
              <w:rPr>
                <w:noProof/>
                <w:webHidden/>
              </w:rPr>
              <w:t>16</w:t>
            </w:r>
            <w:r w:rsidR="00897AB3">
              <w:rPr>
                <w:noProof/>
                <w:webHidden/>
              </w:rPr>
              <w:fldChar w:fldCharType="end"/>
            </w:r>
          </w:hyperlink>
        </w:p>
        <w:p w:rsidR="00897AB3" w:rsidRDefault="003C3E70">
          <w:pPr>
            <w:pStyle w:val="Inhopg3"/>
            <w:rPr>
              <w:rFonts w:asciiTheme="minorHAnsi" w:eastAsiaTheme="minorEastAsia" w:hAnsiTheme="minorHAnsi"/>
              <w:noProof/>
              <w:sz w:val="22"/>
              <w:lang w:eastAsia="nl-NL"/>
            </w:rPr>
          </w:pPr>
          <w:hyperlink w:anchor="_Toc483922749" w:history="1">
            <w:r w:rsidR="00897AB3" w:rsidRPr="006602EE">
              <w:rPr>
                <w:rStyle w:val="Hyperlink"/>
                <w:noProof/>
              </w:rPr>
              <w:t>3.4.5</w:t>
            </w:r>
            <w:r w:rsidR="00897AB3">
              <w:rPr>
                <w:rFonts w:asciiTheme="minorHAnsi" w:eastAsiaTheme="minorEastAsia" w:hAnsiTheme="minorHAnsi"/>
                <w:noProof/>
                <w:sz w:val="22"/>
                <w:lang w:eastAsia="nl-NL"/>
              </w:rPr>
              <w:tab/>
            </w:r>
            <w:r w:rsidR="00897AB3" w:rsidRPr="006602EE">
              <w:rPr>
                <w:rStyle w:val="Hyperlink"/>
                <w:noProof/>
              </w:rPr>
              <w:t>Objectieve indicatoren</w:t>
            </w:r>
            <w:r w:rsidR="00897AB3">
              <w:rPr>
                <w:noProof/>
                <w:webHidden/>
              </w:rPr>
              <w:tab/>
            </w:r>
            <w:r w:rsidR="00897AB3">
              <w:rPr>
                <w:noProof/>
                <w:webHidden/>
              </w:rPr>
              <w:fldChar w:fldCharType="begin"/>
            </w:r>
            <w:r w:rsidR="00897AB3">
              <w:rPr>
                <w:noProof/>
                <w:webHidden/>
              </w:rPr>
              <w:instrText xml:space="preserve"> PAGEREF _Toc483922749 \h </w:instrText>
            </w:r>
            <w:r w:rsidR="00897AB3">
              <w:rPr>
                <w:noProof/>
                <w:webHidden/>
              </w:rPr>
            </w:r>
            <w:r w:rsidR="00897AB3">
              <w:rPr>
                <w:noProof/>
                <w:webHidden/>
              </w:rPr>
              <w:fldChar w:fldCharType="separate"/>
            </w:r>
            <w:r w:rsidR="00897AB3">
              <w:rPr>
                <w:noProof/>
                <w:webHidden/>
              </w:rPr>
              <w:t>16</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50" w:history="1">
            <w:r w:rsidR="00897AB3" w:rsidRPr="006602EE">
              <w:rPr>
                <w:rStyle w:val="Hyperlink"/>
                <w:noProof/>
                <w14:scene3d>
                  <w14:camera w14:prst="orthographicFront"/>
                  <w14:lightRig w14:rig="threePt" w14:dir="t">
                    <w14:rot w14:lat="0" w14:lon="0" w14:rev="0"/>
                  </w14:lightRig>
                </w14:scene3d>
              </w:rPr>
              <w:t>3.5</w:t>
            </w:r>
            <w:r w:rsidR="00897AB3">
              <w:rPr>
                <w:rFonts w:asciiTheme="minorHAnsi" w:eastAsiaTheme="minorEastAsia" w:hAnsiTheme="minorHAnsi"/>
                <w:noProof/>
                <w:sz w:val="22"/>
                <w:lang w:eastAsia="nl-NL"/>
              </w:rPr>
              <w:tab/>
            </w:r>
            <w:r w:rsidR="00897AB3" w:rsidRPr="006602EE">
              <w:rPr>
                <w:rStyle w:val="Hyperlink"/>
                <w:noProof/>
              </w:rPr>
              <w:t>Governance</w:t>
            </w:r>
            <w:r w:rsidR="00897AB3">
              <w:rPr>
                <w:noProof/>
                <w:webHidden/>
              </w:rPr>
              <w:tab/>
            </w:r>
            <w:r w:rsidR="00897AB3">
              <w:rPr>
                <w:noProof/>
                <w:webHidden/>
              </w:rPr>
              <w:fldChar w:fldCharType="begin"/>
            </w:r>
            <w:r w:rsidR="00897AB3">
              <w:rPr>
                <w:noProof/>
                <w:webHidden/>
              </w:rPr>
              <w:instrText xml:space="preserve"> PAGEREF _Toc483922750 \h </w:instrText>
            </w:r>
            <w:r w:rsidR="00897AB3">
              <w:rPr>
                <w:noProof/>
                <w:webHidden/>
              </w:rPr>
            </w:r>
            <w:r w:rsidR="00897AB3">
              <w:rPr>
                <w:noProof/>
                <w:webHidden/>
              </w:rPr>
              <w:fldChar w:fldCharType="separate"/>
            </w:r>
            <w:r w:rsidR="00897AB3">
              <w:rPr>
                <w:noProof/>
                <w:webHidden/>
              </w:rPr>
              <w:t>17</w:t>
            </w:r>
            <w:r w:rsidR="00897AB3">
              <w:rPr>
                <w:noProof/>
                <w:webHidden/>
              </w:rPr>
              <w:fldChar w:fldCharType="end"/>
            </w:r>
          </w:hyperlink>
        </w:p>
        <w:p w:rsidR="00897AB3" w:rsidRDefault="003C3E70">
          <w:pPr>
            <w:pStyle w:val="Inhopg2"/>
            <w:rPr>
              <w:rFonts w:asciiTheme="minorHAnsi" w:eastAsiaTheme="minorEastAsia" w:hAnsiTheme="minorHAnsi"/>
              <w:noProof/>
              <w:sz w:val="22"/>
              <w:lang w:eastAsia="nl-NL"/>
            </w:rPr>
          </w:pPr>
          <w:hyperlink w:anchor="_Toc483922751" w:history="1">
            <w:r w:rsidR="00897AB3" w:rsidRPr="006602EE">
              <w:rPr>
                <w:rStyle w:val="Hyperlink"/>
                <w:noProof/>
                <w14:scene3d>
                  <w14:camera w14:prst="orthographicFront"/>
                  <w14:lightRig w14:rig="threePt" w14:dir="t">
                    <w14:rot w14:lat="0" w14:lon="0" w14:rev="0"/>
                  </w14:lightRig>
                </w14:scene3d>
              </w:rPr>
              <w:t>3.6</w:t>
            </w:r>
            <w:r w:rsidR="00897AB3">
              <w:rPr>
                <w:rFonts w:asciiTheme="minorHAnsi" w:eastAsiaTheme="minorEastAsia" w:hAnsiTheme="minorHAnsi"/>
                <w:noProof/>
                <w:sz w:val="22"/>
                <w:lang w:eastAsia="nl-NL"/>
              </w:rPr>
              <w:tab/>
            </w:r>
            <w:r w:rsidR="00897AB3" w:rsidRPr="006602EE">
              <w:rPr>
                <w:rStyle w:val="Hyperlink"/>
                <w:noProof/>
              </w:rPr>
              <w:t>Training en awareness</w:t>
            </w:r>
            <w:r w:rsidR="00897AB3">
              <w:rPr>
                <w:noProof/>
                <w:webHidden/>
              </w:rPr>
              <w:tab/>
            </w:r>
            <w:r w:rsidR="00897AB3">
              <w:rPr>
                <w:noProof/>
                <w:webHidden/>
              </w:rPr>
              <w:fldChar w:fldCharType="begin"/>
            </w:r>
            <w:r w:rsidR="00897AB3">
              <w:rPr>
                <w:noProof/>
                <w:webHidden/>
              </w:rPr>
              <w:instrText xml:space="preserve"> PAGEREF _Toc483922751 \h </w:instrText>
            </w:r>
            <w:r w:rsidR="00897AB3">
              <w:rPr>
                <w:noProof/>
                <w:webHidden/>
              </w:rPr>
            </w:r>
            <w:r w:rsidR="00897AB3">
              <w:rPr>
                <w:noProof/>
                <w:webHidden/>
              </w:rPr>
              <w:fldChar w:fldCharType="separate"/>
            </w:r>
            <w:r w:rsidR="00897AB3">
              <w:rPr>
                <w:noProof/>
                <w:webHidden/>
              </w:rPr>
              <w:t>17</w:t>
            </w:r>
            <w:r w:rsidR="00897AB3">
              <w:rPr>
                <w:noProof/>
                <w:webHidden/>
              </w:rPr>
              <w:fldChar w:fldCharType="end"/>
            </w:r>
          </w:hyperlink>
        </w:p>
        <w:p w:rsidR="00560B68" w:rsidRPr="00E81517" w:rsidRDefault="00560B68" w:rsidP="00ED1905">
          <w:r>
            <w:rPr>
              <w:noProof/>
            </w:rPr>
            <w:fldChar w:fldCharType="end"/>
          </w:r>
        </w:p>
      </w:sdtContent>
    </w:sdt>
    <w:p w:rsidR="00572AA5" w:rsidRDefault="00572AA5">
      <w:pPr>
        <w:spacing w:after="160"/>
        <w:rPr>
          <w:szCs w:val="17"/>
        </w:rPr>
      </w:pPr>
      <w:r>
        <w:rPr>
          <w:szCs w:val="17"/>
        </w:rPr>
        <w:br w:type="page"/>
      </w:r>
    </w:p>
    <w:p w:rsidR="00850FE9" w:rsidRPr="00C00ADD" w:rsidRDefault="00850FE9" w:rsidP="00850FE9">
      <w:pPr>
        <w:rPr>
          <w:szCs w:val="17"/>
        </w:rPr>
      </w:pPr>
    </w:p>
    <w:p w:rsidR="00A41701" w:rsidRPr="00C00ADD" w:rsidRDefault="00A41701" w:rsidP="00850FE9">
      <w:pPr>
        <w:rPr>
          <w:szCs w:val="17"/>
        </w:rPr>
      </w:pPr>
    </w:p>
    <w:p w:rsidR="00A41701" w:rsidRDefault="00A41701" w:rsidP="00560B68">
      <w:pPr>
        <w:pStyle w:val="Kop1"/>
        <w:numPr>
          <w:ilvl w:val="0"/>
          <w:numId w:val="0"/>
        </w:numPr>
        <w:ind w:left="680" w:hanging="680"/>
      </w:pPr>
      <w:bookmarkStart w:id="1" w:name="_Toc483922725"/>
      <w:r w:rsidRPr="00C00ADD">
        <w:t>SAMENVATTING</w:t>
      </w:r>
      <w:bookmarkEnd w:id="1"/>
      <w:r w:rsidRPr="00C00ADD">
        <w:t xml:space="preserve"> </w:t>
      </w:r>
    </w:p>
    <w:p w:rsidR="00046FEB" w:rsidRPr="00C00ADD" w:rsidRDefault="00046FEB" w:rsidP="00850FE9">
      <w:pPr>
        <w:rPr>
          <w:b/>
          <w:szCs w:val="17"/>
        </w:rPr>
      </w:pPr>
    </w:p>
    <w:p w:rsidR="00F428B6" w:rsidRPr="00C022A0" w:rsidRDefault="00F428B6" w:rsidP="00D23B71">
      <w:p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sidRPr="00D23B71">
        <w:rPr>
          <w:szCs w:val="17"/>
        </w:rPr>
        <w:t xml:space="preserve">Transactiemonitoring is een </w:t>
      </w:r>
      <w:r w:rsidR="00310CDC">
        <w:rPr>
          <w:szCs w:val="17"/>
        </w:rPr>
        <w:t xml:space="preserve">essentiële </w:t>
      </w:r>
      <w:r w:rsidRPr="00D23B71">
        <w:rPr>
          <w:szCs w:val="17"/>
        </w:rPr>
        <w:t>maatregel om integriteitrisico</w:t>
      </w:r>
      <w:r w:rsidR="007175BC" w:rsidRPr="00D23B71">
        <w:rPr>
          <w:szCs w:val="17"/>
        </w:rPr>
        <w:t>’</w:t>
      </w:r>
      <w:r w:rsidRPr="00D23B71">
        <w:rPr>
          <w:szCs w:val="17"/>
        </w:rPr>
        <w:t xml:space="preserve">s </w:t>
      </w:r>
      <w:r w:rsidR="007175BC" w:rsidRPr="00D23B71">
        <w:rPr>
          <w:szCs w:val="17"/>
        </w:rPr>
        <w:t>op het gebi</w:t>
      </w:r>
      <w:r w:rsidR="00F47109" w:rsidRPr="00D23B71">
        <w:rPr>
          <w:szCs w:val="17"/>
        </w:rPr>
        <w:t>e</w:t>
      </w:r>
      <w:r w:rsidR="007175BC" w:rsidRPr="00D23B71">
        <w:rPr>
          <w:szCs w:val="17"/>
        </w:rPr>
        <w:t xml:space="preserve">d van witwassen en terrorismefinanciering </w:t>
      </w:r>
      <w:r w:rsidRPr="00D23B71">
        <w:rPr>
          <w:szCs w:val="17"/>
        </w:rPr>
        <w:t xml:space="preserve">te beheersen. </w:t>
      </w:r>
      <w:r w:rsidR="00E248FC">
        <w:rPr>
          <w:szCs w:val="17"/>
        </w:rPr>
        <w:t xml:space="preserve">DNB heeft </w:t>
      </w:r>
      <w:r w:rsidR="00806CF9">
        <w:rPr>
          <w:szCs w:val="17"/>
        </w:rPr>
        <w:t xml:space="preserve">bij het in 2016 uitgevoerde thema-onderzoek naar transactiemonitoring bij </w:t>
      </w:r>
      <w:r w:rsidR="00C5653C">
        <w:rPr>
          <w:szCs w:val="17"/>
        </w:rPr>
        <w:t>betaaldienstverleners</w:t>
      </w:r>
      <w:r w:rsidR="00806CF9">
        <w:rPr>
          <w:szCs w:val="17"/>
        </w:rPr>
        <w:t xml:space="preserve"> en andere instellingen </w:t>
      </w:r>
      <w:r w:rsidR="00E22291">
        <w:rPr>
          <w:szCs w:val="17"/>
        </w:rPr>
        <w:t xml:space="preserve">geconstateerd </w:t>
      </w:r>
      <w:r w:rsidR="00E248FC">
        <w:rPr>
          <w:szCs w:val="17"/>
        </w:rPr>
        <w:t xml:space="preserve">dat </w:t>
      </w:r>
      <w:r w:rsidR="008E3B1C">
        <w:rPr>
          <w:szCs w:val="17"/>
        </w:rPr>
        <w:t xml:space="preserve">de onderzochte </w:t>
      </w:r>
      <w:r w:rsidR="00C5653C">
        <w:rPr>
          <w:szCs w:val="17"/>
        </w:rPr>
        <w:t>betaaldienstverleners</w:t>
      </w:r>
      <w:r w:rsidR="00E248FC">
        <w:rPr>
          <w:szCs w:val="17"/>
        </w:rPr>
        <w:t xml:space="preserve"> hun post-even</w:t>
      </w:r>
      <w:r w:rsidR="00E22291">
        <w:rPr>
          <w:szCs w:val="17"/>
        </w:rPr>
        <w:t>t</w:t>
      </w:r>
      <w:r w:rsidR="00E248FC">
        <w:rPr>
          <w:szCs w:val="17"/>
        </w:rPr>
        <w:t xml:space="preserve"> </w:t>
      </w:r>
      <w:r w:rsidRPr="00D23B71">
        <w:rPr>
          <w:szCs w:val="17"/>
        </w:rPr>
        <w:t>transactiemonitoring</w:t>
      </w:r>
      <w:r w:rsidR="00E248FC">
        <w:rPr>
          <w:szCs w:val="17"/>
        </w:rPr>
        <w:t xml:space="preserve">sproces nog niet </w:t>
      </w:r>
      <w:r w:rsidR="00E23E8E">
        <w:rPr>
          <w:szCs w:val="17"/>
        </w:rPr>
        <w:t xml:space="preserve">allemaal </w:t>
      </w:r>
      <w:r w:rsidR="00E248FC">
        <w:rPr>
          <w:szCs w:val="17"/>
        </w:rPr>
        <w:t xml:space="preserve">op </w:t>
      </w:r>
      <w:r w:rsidR="00E248FC" w:rsidRPr="00C022A0">
        <w:rPr>
          <w:szCs w:val="17"/>
        </w:rPr>
        <w:t xml:space="preserve">orde hebben. Onze belangrijkste </w:t>
      </w:r>
      <w:r w:rsidR="002245DB" w:rsidRPr="00C022A0">
        <w:rPr>
          <w:szCs w:val="17"/>
        </w:rPr>
        <w:t>bevindingen</w:t>
      </w:r>
      <w:r w:rsidR="00E248FC" w:rsidRPr="00C022A0">
        <w:rPr>
          <w:szCs w:val="17"/>
        </w:rPr>
        <w:t xml:space="preserve"> zijn als volgt:</w:t>
      </w:r>
    </w:p>
    <w:p w:rsidR="00F428B6" w:rsidRPr="00C022A0" w:rsidRDefault="00940C5A" w:rsidP="004F3B38">
      <w:pPr>
        <w:pStyle w:val="Lijstalinea"/>
        <w:numPr>
          <w:ilvl w:val="0"/>
          <w:numId w:val="13"/>
        </w:num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sidRPr="00C022A0">
        <w:rPr>
          <w:szCs w:val="17"/>
        </w:rPr>
        <w:t>D</w:t>
      </w:r>
      <w:r w:rsidR="00D2030F" w:rsidRPr="00C022A0">
        <w:rPr>
          <w:szCs w:val="17"/>
        </w:rPr>
        <w:t xml:space="preserve">NB </w:t>
      </w:r>
      <w:r w:rsidR="00865974" w:rsidRPr="00C022A0">
        <w:rPr>
          <w:szCs w:val="17"/>
        </w:rPr>
        <w:t>heeft ge</w:t>
      </w:r>
      <w:r w:rsidR="00D2030F" w:rsidRPr="00C022A0">
        <w:rPr>
          <w:szCs w:val="17"/>
        </w:rPr>
        <w:t>constateer</w:t>
      </w:r>
      <w:r w:rsidR="00865974" w:rsidRPr="00C022A0">
        <w:rPr>
          <w:szCs w:val="17"/>
        </w:rPr>
        <w:t>d</w:t>
      </w:r>
      <w:r w:rsidR="00D2030F" w:rsidRPr="00C022A0">
        <w:rPr>
          <w:szCs w:val="17"/>
        </w:rPr>
        <w:t xml:space="preserve"> dat</w:t>
      </w:r>
      <w:r w:rsidR="004F3B38" w:rsidRPr="00C022A0">
        <w:rPr>
          <w:szCs w:val="17"/>
        </w:rPr>
        <w:t xml:space="preserve"> alle onderzochte </w:t>
      </w:r>
      <w:r w:rsidR="00C5653C" w:rsidRPr="00C022A0">
        <w:rPr>
          <w:szCs w:val="17"/>
        </w:rPr>
        <w:t>betaaldienstverleners</w:t>
      </w:r>
      <w:r w:rsidR="004F3B38" w:rsidRPr="00C022A0">
        <w:rPr>
          <w:szCs w:val="17"/>
        </w:rPr>
        <w:t xml:space="preserve"> financieel economische criminaliteitsrisico’s die uit </w:t>
      </w:r>
      <w:r w:rsidR="00523093" w:rsidRPr="00C022A0">
        <w:rPr>
          <w:szCs w:val="17"/>
        </w:rPr>
        <w:t>hun</w:t>
      </w:r>
      <w:r w:rsidR="004F3B38" w:rsidRPr="00C022A0">
        <w:rPr>
          <w:szCs w:val="17"/>
        </w:rPr>
        <w:t xml:space="preserve"> SIRA voortvloeien niet voldoende doorvertalen naar het transactiemonitoringsproces. </w:t>
      </w:r>
      <w:r w:rsidR="000C6C4C" w:rsidRPr="00C022A0">
        <w:rPr>
          <w:szCs w:val="17"/>
        </w:rPr>
        <w:t xml:space="preserve">DNB </w:t>
      </w:r>
      <w:r w:rsidR="00865974" w:rsidRPr="00C022A0">
        <w:rPr>
          <w:szCs w:val="17"/>
        </w:rPr>
        <w:t>constateer</w:t>
      </w:r>
      <w:r w:rsidR="00EF3960" w:rsidRPr="00C022A0">
        <w:rPr>
          <w:szCs w:val="17"/>
        </w:rPr>
        <w:t>t</w:t>
      </w:r>
      <w:r w:rsidR="00865974" w:rsidRPr="00C022A0">
        <w:rPr>
          <w:szCs w:val="17"/>
        </w:rPr>
        <w:t xml:space="preserve"> </w:t>
      </w:r>
      <w:r w:rsidR="00E57A88" w:rsidRPr="00C022A0">
        <w:rPr>
          <w:szCs w:val="17"/>
        </w:rPr>
        <w:t>v</w:t>
      </w:r>
      <w:r w:rsidR="002B6349" w:rsidRPr="00C022A0">
        <w:rPr>
          <w:szCs w:val="17"/>
        </w:rPr>
        <w:t>erder</w:t>
      </w:r>
      <w:r w:rsidR="00E57A88" w:rsidRPr="00C022A0">
        <w:rPr>
          <w:szCs w:val="17"/>
        </w:rPr>
        <w:t xml:space="preserve"> </w:t>
      </w:r>
      <w:r w:rsidR="000C6C4C" w:rsidRPr="00C022A0">
        <w:rPr>
          <w:szCs w:val="17"/>
        </w:rPr>
        <w:t xml:space="preserve">dat </w:t>
      </w:r>
      <w:r w:rsidR="00AE7210" w:rsidRPr="00C022A0">
        <w:rPr>
          <w:szCs w:val="17"/>
        </w:rPr>
        <w:t>slechts één van</w:t>
      </w:r>
      <w:r w:rsidR="00E23E8E" w:rsidRPr="00C022A0">
        <w:rPr>
          <w:szCs w:val="17"/>
        </w:rPr>
        <w:t xml:space="preserve"> </w:t>
      </w:r>
      <w:r w:rsidR="008E3B1C" w:rsidRPr="00C022A0">
        <w:rPr>
          <w:szCs w:val="17"/>
        </w:rPr>
        <w:t xml:space="preserve">de onderzochte </w:t>
      </w:r>
      <w:r w:rsidR="00C5653C" w:rsidRPr="00C022A0">
        <w:rPr>
          <w:szCs w:val="17"/>
        </w:rPr>
        <w:t>betaaldienstverleners</w:t>
      </w:r>
      <w:r w:rsidR="000C6C4C" w:rsidRPr="00C022A0">
        <w:rPr>
          <w:szCs w:val="17"/>
        </w:rPr>
        <w:t xml:space="preserve"> bij de </w:t>
      </w:r>
      <w:r w:rsidRPr="00C022A0">
        <w:rPr>
          <w:szCs w:val="17"/>
        </w:rPr>
        <w:t>bepal</w:t>
      </w:r>
      <w:r w:rsidR="000C6C4C" w:rsidRPr="00C022A0">
        <w:rPr>
          <w:szCs w:val="17"/>
        </w:rPr>
        <w:t>ing</w:t>
      </w:r>
      <w:r w:rsidRPr="00C022A0">
        <w:rPr>
          <w:szCs w:val="17"/>
        </w:rPr>
        <w:t xml:space="preserve"> van </w:t>
      </w:r>
      <w:r w:rsidR="00E90E50" w:rsidRPr="00C022A0">
        <w:rPr>
          <w:szCs w:val="17"/>
        </w:rPr>
        <w:t xml:space="preserve">het risicoprofiel </w:t>
      </w:r>
      <w:r w:rsidR="006A1993" w:rsidRPr="00C022A0">
        <w:rPr>
          <w:szCs w:val="17"/>
        </w:rPr>
        <w:t xml:space="preserve">van de cliënt </w:t>
      </w:r>
      <w:r w:rsidR="00E90E50" w:rsidRPr="00C022A0">
        <w:rPr>
          <w:szCs w:val="17"/>
        </w:rPr>
        <w:t>het verwachte transactiegedrag van de cliënt</w:t>
      </w:r>
      <w:r w:rsidRPr="00C022A0">
        <w:rPr>
          <w:szCs w:val="17"/>
        </w:rPr>
        <w:t xml:space="preserve"> </w:t>
      </w:r>
      <w:r w:rsidR="00AE7210" w:rsidRPr="00C022A0">
        <w:rPr>
          <w:szCs w:val="17"/>
        </w:rPr>
        <w:t>meeneemt. Een aantal van de onderzochte betaaldienstverleners maakt in het geheel geen cliëntrisicoprofiel op.</w:t>
      </w:r>
    </w:p>
    <w:p w:rsidR="00E23E8E" w:rsidRPr="00C022A0" w:rsidRDefault="000C6C4C" w:rsidP="00E23E8E">
      <w:pPr>
        <w:pStyle w:val="Lijstalinea"/>
        <w:numPr>
          <w:ilvl w:val="0"/>
          <w:numId w:val="13"/>
        </w:num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sidRPr="00C022A0">
        <w:rPr>
          <w:szCs w:val="17"/>
        </w:rPr>
        <w:t xml:space="preserve">Gebleken is </w:t>
      </w:r>
      <w:r w:rsidR="00940C5A" w:rsidRPr="00C022A0">
        <w:rPr>
          <w:szCs w:val="17"/>
        </w:rPr>
        <w:t xml:space="preserve">dat </w:t>
      </w:r>
      <w:r w:rsidR="004F3B38" w:rsidRPr="00C022A0">
        <w:rPr>
          <w:szCs w:val="17"/>
        </w:rPr>
        <w:t>niet alle</w:t>
      </w:r>
      <w:r w:rsidR="008E3B1C" w:rsidRPr="00C022A0">
        <w:rPr>
          <w:szCs w:val="17"/>
        </w:rPr>
        <w:t xml:space="preserve"> onderzochte </w:t>
      </w:r>
      <w:r w:rsidR="00C5653C" w:rsidRPr="00C022A0">
        <w:rPr>
          <w:szCs w:val="17"/>
        </w:rPr>
        <w:t>betaaldienstverleners</w:t>
      </w:r>
      <w:r w:rsidR="00940C5A" w:rsidRPr="00C022A0">
        <w:rPr>
          <w:szCs w:val="17"/>
        </w:rPr>
        <w:t xml:space="preserve"> </w:t>
      </w:r>
      <w:r w:rsidRPr="00C022A0">
        <w:rPr>
          <w:szCs w:val="17"/>
        </w:rPr>
        <w:t xml:space="preserve">voldoende </w:t>
      </w:r>
      <w:r w:rsidR="00940C5A" w:rsidRPr="00C022A0">
        <w:rPr>
          <w:szCs w:val="17"/>
        </w:rPr>
        <w:t xml:space="preserve">beleid </w:t>
      </w:r>
      <w:r w:rsidR="007038B9" w:rsidRPr="00C022A0">
        <w:rPr>
          <w:szCs w:val="17"/>
        </w:rPr>
        <w:t xml:space="preserve">voor transactiemonitoring </w:t>
      </w:r>
      <w:r w:rsidR="00940C5A" w:rsidRPr="00C022A0">
        <w:rPr>
          <w:szCs w:val="17"/>
        </w:rPr>
        <w:t>hebben</w:t>
      </w:r>
      <w:r w:rsidR="00DC5300" w:rsidRPr="00C022A0">
        <w:rPr>
          <w:szCs w:val="17"/>
        </w:rPr>
        <w:t xml:space="preserve"> opgesteld</w:t>
      </w:r>
      <w:r w:rsidR="00E22291" w:rsidRPr="00C022A0">
        <w:rPr>
          <w:szCs w:val="17"/>
        </w:rPr>
        <w:t xml:space="preserve"> </w:t>
      </w:r>
      <w:r w:rsidR="00940C5A" w:rsidRPr="00C022A0">
        <w:rPr>
          <w:szCs w:val="17"/>
        </w:rPr>
        <w:t>en</w:t>
      </w:r>
      <w:r w:rsidRPr="00C022A0">
        <w:rPr>
          <w:szCs w:val="17"/>
        </w:rPr>
        <w:t xml:space="preserve"> dit </w:t>
      </w:r>
      <w:r w:rsidR="006A1993" w:rsidRPr="00C022A0">
        <w:rPr>
          <w:szCs w:val="17"/>
        </w:rPr>
        <w:t>derhalve ook niet hebben</w:t>
      </w:r>
      <w:r w:rsidRPr="00C022A0">
        <w:rPr>
          <w:szCs w:val="17"/>
        </w:rPr>
        <w:t xml:space="preserve"> </w:t>
      </w:r>
      <w:r w:rsidR="007038B9" w:rsidRPr="00C022A0">
        <w:rPr>
          <w:szCs w:val="17"/>
        </w:rPr>
        <w:t>uitgewerkt in onderliggende procedures en werkprocessen</w:t>
      </w:r>
      <w:r w:rsidR="002B6349" w:rsidRPr="00C022A0">
        <w:rPr>
          <w:szCs w:val="17"/>
        </w:rPr>
        <w:t>.</w:t>
      </w:r>
    </w:p>
    <w:p w:rsidR="00E23E8E" w:rsidRPr="00C022A0" w:rsidRDefault="004F4051" w:rsidP="00E23E8E">
      <w:pPr>
        <w:pStyle w:val="Lijstalinea"/>
        <w:numPr>
          <w:ilvl w:val="0"/>
          <w:numId w:val="13"/>
        </w:num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sidRPr="00C022A0">
        <w:rPr>
          <w:szCs w:val="17"/>
        </w:rPr>
        <w:t xml:space="preserve">Een deel van de </w:t>
      </w:r>
      <w:r w:rsidR="00E23E8E" w:rsidRPr="00C022A0">
        <w:rPr>
          <w:szCs w:val="17"/>
        </w:rPr>
        <w:t xml:space="preserve">onderzochte betaaldienstverleners </w:t>
      </w:r>
      <w:r w:rsidRPr="00C022A0">
        <w:rPr>
          <w:szCs w:val="17"/>
        </w:rPr>
        <w:t xml:space="preserve">kan tot effectievere monitoring komen door handmatige processen te vervangen door </w:t>
      </w:r>
      <w:r w:rsidR="00E23E8E" w:rsidRPr="00C022A0">
        <w:rPr>
          <w:szCs w:val="17"/>
        </w:rPr>
        <w:t>een geautomatiseerd transactiemonitoringsysteem.</w:t>
      </w:r>
    </w:p>
    <w:p w:rsidR="00D23B71" w:rsidRPr="00C022A0" w:rsidRDefault="00327E1D" w:rsidP="00D23B71">
      <w:pPr>
        <w:pStyle w:val="Lijstalinea"/>
        <w:numPr>
          <w:ilvl w:val="0"/>
          <w:numId w:val="13"/>
        </w:num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sidRPr="00C022A0">
        <w:rPr>
          <w:szCs w:val="17"/>
        </w:rPr>
        <w:t xml:space="preserve">De onderzochte </w:t>
      </w:r>
      <w:r w:rsidR="003E2714" w:rsidRPr="00C022A0">
        <w:rPr>
          <w:szCs w:val="17"/>
        </w:rPr>
        <w:t>betaaldienstverleners</w:t>
      </w:r>
      <w:r w:rsidRPr="00C022A0">
        <w:rPr>
          <w:szCs w:val="17"/>
        </w:rPr>
        <w:t xml:space="preserve"> die beschikken over een geautomatiseerd transactiemonitoringsysteem</w:t>
      </w:r>
      <w:r w:rsidR="00806CF9" w:rsidRPr="00C022A0">
        <w:rPr>
          <w:szCs w:val="17"/>
        </w:rPr>
        <w:t xml:space="preserve"> </w:t>
      </w:r>
      <w:r w:rsidR="003E258F" w:rsidRPr="00C022A0">
        <w:rPr>
          <w:szCs w:val="17"/>
        </w:rPr>
        <w:t xml:space="preserve">hebben </w:t>
      </w:r>
      <w:r w:rsidR="00452AB9" w:rsidRPr="00C022A0">
        <w:rPr>
          <w:szCs w:val="17"/>
        </w:rPr>
        <w:t xml:space="preserve">veelal </w:t>
      </w:r>
      <w:r w:rsidR="004F4051" w:rsidRPr="00C022A0">
        <w:rPr>
          <w:szCs w:val="17"/>
        </w:rPr>
        <w:t>g</w:t>
      </w:r>
      <w:r w:rsidR="00C767B8" w:rsidRPr="00C022A0">
        <w:rPr>
          <w:szCs w:val="17"/>
        </w:rPr>
        <w:t xml:space="preserve">een </w:t>
      </w:r>
      <w:r w:rsidR="004C1C6F" w:rsidRPr="00C022A0">
        <w:rPr>
          <w:szCs w:val="17"/>
        </w:rPr>
        <w:t>onderbouwd</w:t>
      </w:r>
      <w:r w:rsidR="00804AD9" w:rsidRPr="00C022A0">
        <w:rPr>
          <w:szCs w:val="17"/>
        </w:rPr>
        <w:t xml:space="preserve">e en </w:t>
      </w:r>
      <w:r w:rsidR="00C767B8" w:rsidRPr="00C022A0">
        <w:rPr>
          <w:szCs w:val="17"/>
        </w:rPr>
        <w:t>toereikend</w:t>
      </w:r>
      <w:r w:rsidR="00804AD9" w:rsidRPr="00C022A0">
        <w:rPr>
          <w:szCs w:val="17"/>
        </w:rPr>
        <w:t>e</w:t>
      </w:r>
      <w:r w:rsidR="00C767B8" w:rsidRPr="00C022A0">
        <w:rPr>
          <w:szCs w:val="17"/>
        </w:rPr>
        <w:t xml:space="preserve"> set aan </w:t>
      </w:r>
      <w:r w:rsidR="00D23B71" w:rsidRPr="00C022A0">
        <w:rPr>
          <w:szCs w:val="17"/>
        </w:rPr>
        <w:t>business rules (</w:t>
      </w:r>
      <w:r w:rsidR="006A1993" w:rsidRPr="00C022A0">
        <w:rPr>
          <w:szCs w:val="17"/>
        </w:rPr>
        <w:t xml:space="preserve">detectieregels met </w:t>
      </w:r>
      <w:r w:rsidR="00D23B71" w:rsidRPr="00C022A0">
        <w:rPr>
          <w:szCs w:val="17"/>
        </w:rPr>
        <w:t xml:space="preserve">scenario’s en </w:t>
      </w:r>
      <w:r w:rsidR="000C6C4C" w:rsidRPr="00C022A0">
        <w:rPr>
          <w:szCs w:val="17"/>
        </w:rPr>
        <w:t>grenswaarden)</w:t>
      </w:r>
      <w:r w:rsidR="00C767B8" w:rsidRPr="00C022A0">
        <w:rPr>
          <w:szCs w:val="17"/>
        </w:rPr>
        <w:t xml:space="preserve"> om witwas- en terrorismefinancieringsrisico’s te detecteren</w:t>
      </w:r>
      <w:r w:rsidR="002B6349" w:rsidRPr="00C022A0">
        <w:rPr>
          <w:szCs w:val="17"/>
        </w:rPr>
        <w:t>.</w:t>
      </w:r>
    </w:p>
    <w:p w:rsidR="00244A06" w:rsidRPr="000916A6" w:rsidRDefault="0018029B" w:rsidP="00244A06">
      <w:pPr>
        <w:pStyle w:val="Lijstalinea"/>
        <w:numPr>
          <w:ilvl w:val="0"/>
          <w:numId w:val="13"/>
        </w:numPr>
        <w:pBdr>
          <w:top w:val="single" w:sz="4" w:space="1" w:color="auto"/>
          <w:left w:val="single" w:sz="4" w:space="4" w:color="auto"/>
          <w:bottom w:val="single" w:sz="4" w:space="1" w:color="auto"/>
          <w:right w:val="single" w:sz="4" w:space="4" w:color="auto"/>
        </w:pBdr>
        <w:shd w:val="clear" w:color="auto" w:fill="BDD6EE" w:themeFill="accent1" w:themeFillTint="66"/>
        <w:rPr>
          <w:sz w:val="16"/>
          <w:szCs w:val="16"/>
          <w:lang w:eastAsia="nl-NL"/>
        </w:rPr>
      </w:pPr>
      <w:r>
        <w:rPr>
          <w:szCs w:val="17"/>
        </w:rPr>
        <w:t>Gebleken is dat</w:t>
      </w:r>
      <w:r w:rsidR="00806CF9">
        <w:rPr>
          <w:szCs w:val="17"/>
        </w:rPr>
        <w:t xml:space="preserve"> </w:t>
      </w:r>
      <w:r w:rsidR="00CF4267">
        <w:rPr>
          <w:szCs w:val="17"/>
        </w:rPr>
        <w:t xml:space="preserve">de onderzochte </w:t>
      </w:r>
      <w:r w:rsidR="00C5653C">
        <w:rPr>
          <w:szCs w:val="17"/>
        </w:rPr>
        <w:t>betaaldienstverleners</w:t>
      </w:r>
      <w:r>
        <w:rPr>
          <w:szCs w:val="17"/>
        </w:rPr>
        <w:t xml:space="preserve"> </w:t>
      </w:r>
      <w:r w:rsidRPr="000916A6">
        <w:rPr>
          <w:szCs w:val="17"/>
        </w:rPr>
        <w:t xml:space="preserve">voorgenomen </w:t>
      </w:r>
      <w:r>
        <w:rPr>
          <w:szCs w:val="17"/>
        </w:rPr>
        <w:t>en</w:t>
      </w:r>
      <w:r w:rsidRPr="000916A6">
        <w:rPr>
          <w:szCs w:val="17"/>
        </w:rPr>
        <w:t xml:space="preserve"> uitgevoerde</w:t>
      </w:r>
      <w:r>
        <w:rPr>
          <w:szCs w:val="17"/>
        </w:rPr>
        <w:t xml:space="preserve"> ongebruikelijke</w:t>
      </w:r>
      <w:r w:rsidRPr="000916A6">
        <w:rPr>
          <w:szCs w:val="17"/>
        </w:rPr>
        <w:t xml:space="preserve"> transacties </w:t>
      </w:r>
      <w:r w:rsidR="002B6349">
        <w:rPr>
          <w:szCs w:val="17"/>
        </w:rPr>
        <w:t xml:space="preserve">niet altijd </w:t>
      </w:r>
      <w:r w:rsidRPr="000916A6">
        <w:rPr>
          <w:szCs w:val="17"/>
        </w:rPr>
        <w:t xml:space="preserve">onverwijld en volledig aan de </w:t>
      </w:r>
      <w:r w:rsidR="002B68CE">
        <w:rPr>
          <w:szCs w:val="17"/>
        </w:rPr>
        <w:t>FIU-NL</w:t>
      </w:r>
      <w:r w:rsidR="00175F49">
        <w:rPr>
          <w:szCs w:val="17"/>
        </w:rPr>
        <w:t xml:space="preserve"> </w:t>
      </w:r>
      <w:r w:rsidRPr="000916A6">
        <w:rPr>
          <w:szCs w:val="17"/>
        </w:rPr>
        <w:t>meld</w:t>
      </w:r>
      <w:r>
        <w:rPr>
          <w:szCs w:val="17"/>
        </w:rPr>
        <w:t>en</w:t>
      </w:r>
      <w:r w:rsidR="002B6349">
        <w:rPr>
          <w:szCs w:val="17"/>
        </w:rPr>
        <w:t>,</w:t>
      </w:r>
      <w:r w:rsidRPr="000916A6">
        <w:rPr>
          <w:szCs w:val="17"/>
        </w:rPr>
        <w:t xml:space="preserve"> conform een gedocumenteerd meldproces</w:t>
      </w:r>
      <w:r>
        <w:rPr>
          <w:szCs w:val="17"/>
        </w:rPr>
        <w:t xml:space="preserve">. </w:t>
      </w:r>
      <w:r w:rsidR="00244A06" w:rsidRPr="000916A6">
        <w:rPr>
          <w:szCs w:val="17"/>
        </w:rPr>
        <w:t>Het alertafhandelingsproces</w:t>
      </w:r>
      <w:r w:rsidR="007F4A1B">
        <w:rPr>
          <w:szCs w:val="17"/>
        </w:rPr>
        <w:t xml:space="preserve"> </w:t>
      </w:r>
      <w:r>
        <w:rPr>
          <w:szCs w:val="17"/>
        </w:rPr>
        <w:t>bleek</w:t>
      </w:r>
      <w:r w:rsidR="00244A06" w:rsidRPr="000916A6">
        <w:rPr>
          <w:szCs w:val="17"/>
        </w:rPr>
        <w:t xml:space="preserve"> niet altijd adequaat te zijn gedocumenteerd</w:t>
      </w:r>
      <w:r w:rsidR="00806CF9">
        <w:rPr>
          <w:szCs w:val="17"/>
        </w:rPr>
        <w:t>,</w:t>
      </w:r>
      <w:r w:rsidR="00557FFE" w:rsidRPr="000916A6">
        <w:rPr>
          <w:szCs w:val="17"/>
        </w:rPr>
        <w:t xml:space="preserve"> </w:t>
      </w:r>
      <w:r w:rsidR="00244A06">
        <w:rPr>
          <w:szCs w:val="17"/>
        </w:rPr>
        <w:t>met</w:t>
      </w:r>
      <w:r w:rsidR="00AE7210">
        <w:rPr>
          <w:szCs w:val="17"/>
        </w:rPr>
        <w:t xml:space="preserve"> </w:t>
      </w:r>
      <w:r w:rsidR="00244A06">
        <w:rPr>
          <w:szCs w:val="17"/>
        </w:rPr>
        <w:t xml:space="preserve">name </w:t>
      </w:r>
      <w:r w:rsidR="00244A06" w:rsidRPr="000916A6">
        <w:rPr>
          <w:szCs w:val="17"/>
        </w:rPr>
        <w:t>overwegingen tot het sluiten dan wel escaleren van alerts</w:t>
      </w:r>
      <w:r w:rsidR="00244A06">
        <w:rPr>
          <w:szCs w:val="17"/>
        </w:rPr>
        <w:t xml:space="preserve"> en conclusies </w:t>
      </w:r>
      <w:r w:rsidR="006A1993">
        <w:rPr>
          <w:szCs w:val="17"/>
        </w:rPr>
        <w:t xml:space="preserve">daaromtrent </w:t>
      </w:r>
      <w:r w:rsidR="00244A06">
        <w:rPr>
          <w:szCs w:val="17"/>
        </w:rPr>
        <w:t>ontbraken</w:t>
      </w:r>
      <w:r w:rsidR="002B6349">
        <w:rPr>
          <w:szCs w:val="17"/>
        </w:rPr>
        <w:t>.</w:t>
      </w:r>
    </w:p>
    <w:p w:rsidR="00D23B71" w:rsidRPr="000916A6" w:rsidRDefault="00C767B8" w:rsidP="00D23B71">
      <w:pPr>
        <w:pStyle w:val="Lijstalinea"/>
        <w:numPr>
          <w:ilvl w:val="0"/>
          <w:numId w:val="13"/>
        </w:num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Pr>
          <w:szCs w:val="17"/>
        </w:rPr>
        <w:t>De governance ten aanzien van transactiemonitoring b</w:t>
      </w:r>
      <w:r w:rsidR="007A2B0F">
        <w:rPr>
          <w:szCs w:val="17"/>
        </w:rPr>
        <w:t xml:space="preserve">leek </w:t>
      </w:r>
      <w:r w:rsidR="003E258F">
        <w:rPr>
          <w:szCs w:val="17"/>
        </w:rPr>
        <w:t xml:space="preserve">niet altijd op orde te zijn, </w:t>
      </w:r>
      <w:r w:rsidR="007A2B0F">
        <w:rPr>
          <w:szCs w:val="17"/>
        </w:rPr>
        <w:t>met name</w:t>
      </w:r>
      <w:r w:rsidR="006D0570">
        <w:rPr>
          <w:szCs w:val="17"/>
        </w:rPr>
        <w:t xml:space="preserve"> </w:t>
      </w:r>
      <w:r w:rsidR="007A2B0F">
        <w:rPr>
          <w:szCs w:val="17"/>
        </w:rPr>
        <w:t xml:space="preserve">wat betreft </w:t>
      </w:r>
      <w:r w:rsidR="00804AD9">
        <w:rPr>
          <w:szCs w:val="17"/>
        </w:rPr>
        <w:t xml:space="preserve">een duidelijke </w:t>
      </w:r>
      <w:r w:rsidR="007A2B0F">
        <w:rPr>
          <w:szCs w:val="17"/>
        </w:rPr>
        <w:t xml:space="preserve">rolverdeling </w:t>
      </w:r>
      <w:r w:rsidR="00804AD9">
        <w:rPr>
          <w:szCs w:val="17"/>
        </w:rPr>
        <w:t xml:space="preserve">tussen </w:t>
      </w:r>
      <w:r w:rsidR="007A2B0F">
        <w:rPr>
          <w:szCs w:val="17"/>
        </w:rPr>
        <w:t xml:space="preserve">de </w:t>
      </w:r>
      <w:r w:rsidR="00804AD9" w:rsidRPr="0018029B">
        <w:rPr>
          <w:i/>
          <w:szCs w:val="17"/>
        </w:rPr>
        <w:t>three</w:t>
      </w:r>
      <w:r w:rsidR="00804AD9">
        <w:rPr>
          <w:szCs w:val="17"/>
        </w:rPr>
        <w:t xml:space="preserve"> </w:t>
      </w:r>
      <w:r w:rsidR="007A2B0F" w:rsidRPr="00DC5300">
        <w:rPr>
          <w:i/>
          <w:szCs w:val="17"/>
        </w:rPr>
        <w:t>lines of defense</w:t>
      </w:r>
      <w:r w:rsidR="002B6349">
        <w:rPr>
          <w:szCs w:val="17"/>
        </w:rPr>
        <w:t>.</w:t>
      </w:r>
    </w:p>
    <w:p w:rsidR="00FD2BCD" w:rsidRDefault="00F8036C" w:rsidP="00D94E92">
      <w:pPr>
        <w:pStyle w:val="Lijstalinea"/>
        <w:numPr>
          <w:ilvl w:val="0"/>
          <w:numId w:val="13"/>
        </w:numPr>
        <w:pBdr>
          <w:top w:val="single" w:sz="4" w:space="1" w:color="auto"/>
          <w:left w:val="single" w:sz="4" w:space="4" w:color="auto"/>
          <w:bottom w:val="single" w:sz="4" w:space="1" w:color="auto"/>
          <w:right w:val="single" w:sz="4" w:space="4" w:color="auto"/>
        </w:pBdr>
        <w:shd w:val="clear" w:color="auto" w:fill="BDD6EE" w:themeFill="accent1" w:themeFillTint="66"/>
      </w:pPr>
      <w:r w:rsidRPr="000916A6">
        <w:t xml:space="preserve">Het onderzoek liet zien dat </w:t>
      </w:r>
      <w:r w:rsidR="00C5653C">
        <w:t>betaaldienstverleners</w:t>
      </w:r>
      <w:r w:rsidRPr="000916A6">
        <w:t xml:space="preserve"> niet altijd beschik</w:t>
      </w:r>
      <w:r w:rsidR="00804AD9">
        <w:t>k</w:t>
      </w:r>
      <w:r w:rsidRPr="000916A6">
        <w:t xml:space="preserve">en over een toegesneden trainingsprogramma </w:t>
      </w:r>
      <w:r w:rsidR="00804AD9">
        <w:t xml:space="preserve">voor </w:t>
      </w:r>
      <w:r w:rsidR="00806CF9">
        <w:t xml:space="preserve">hun </w:t>
      </w:r>
      <w:r w:rsidR="00804AD9">
        <w:t>medewerkers</w:t>
      </w:r>
      <w:r w:rsidR="00804AD9" w:rsidRPr="000916A6">
        <w:t xml:space="preserve"> </w:t>
      </w:r>
      <w:r w:rsidR="00804AD9">
        <w:t xml:space="preserve">en </w:t>
      </w:r>
      <w:r w:rsidR="00806CF9">
        <w:t>de medewerkers</w:t>
      </w:r>
      <w:r w:rsidR="00804AD9">
        <w:t xml:space="preserve"> </w:t>
      </w:r>
      <w:r w:rsidR="007A2B0F">
        <w:t xml:space="preserve">zich </w:t>
      </w:r>
      <w:r w:rsidRPr="000916A6">
        <w:t xml:space="preserve">niet altijd bewust </w:t>
      </w:r>
      <w:r w:rsidR="007A2B0F">
        <w:t>toonden</w:t>
      </w:r>
      <w:r w:rsidRPr="000916A6">
        <w:t xml:space="preserve"> van witwas- en terrorismefinancieringsrisico’s. </w:t>
      </w:r>
    </w:p>
    <w:p w:rsidR="00D94E92" w:rsidRDefault="00D94E92" w:rsidP="001C017D"/>
    <w:p w:rsidR="002B6349" w:rsidRDefault="00557FFE" w:rsidP="001C017D">
      <w:r>
        <w:t>De uitkomsten van h</w:t>
      </w:r>
      <w:r w:rsidR="001C017D">
        <w:t>et thema</w:t>
      </w:r>
      <w:r w:rsidR="00806CF9">
        <w:t>-</w:t>
      </w:r>
      <w:r w:rsidR="001C017D">
        <w:t>onderzoek la</w:t>
      </w:r>
      <w:r w:rsidR="005601FA">
        <w:t>ten</w:t>
      </w:r>
      <w:r w:rsidR="001C017D">
        <w:t xml:space="preserve"> zien dat </w:t>
      </w:r>
      <w:r w:rsidR="00AE7210">
        <w:t>nog niet alle</w:t>
      </w:r>
      <w:r w:rsidR="001C017D">
        <w:t xml:space="preserve"> </w:t>
      </w:r>
      <w:r w:rsidR="00C5653C">
        <w:t>betaaldienstverleners</w:t>
      </w:r>
      <w:r w:rsidR="001C017D">
        <w:t xml:space="preserve"> ten aanzien van transactiemonitoring </w:t>
      </w:r>
      <w:r w:rsidR="006A1993">
        <w:t xml:space="preserve">op </w:t>
      </w:r>
      <w:r w:rsidR="002B6349">
        <w:t xml:space="preserve">het </w:t>
      </w:r>
      <w:r w:rsidR="006A1993">
        <w:t xml:space="preserve">niveau zijn dat de </w:t>
      </w:r>
      <w:r w:rsidR="00BA0619">
        <w:t>financieel economische criminaliteits</w:t>
      </w:r>
      <w:r w:rsidR="006A1993">
        <w:t>risico</w:t>
      </w:r>
      <w:r w:rsidR="00804AD9">
        <w:t>’</w:t>
      </w:r>
      <w:r w:rsidR="006A1993">
        <w:t xml:space="preserve">s </w:t>
      </w:r>
      <w:r w:rsidR="00804AD9">
        <w:t xml:space="preserve">adequaat </w:t>
      </w:r>
      <w:r w:rsidR="006A1993">
        <w:t>worden beheerst.</w:t>
      </w:r>
    </w:p>
    <w:p w:rsidR="002B6349" w:rsidRDefault="002B6349" w:rsidP="001C017D"/>
    <w:p w:rsidR="001C017D" w:rsidRPr="001C017D" w:rsidRDefault="00747495" w:rsidP="001C017D">
      <w:r>
        <w:t>In het bijgevoegde volwassenheidsmodel staa</w:t>
      </w:r>
      <w:r w:rsidR="00E57A88">
        <w:t>n</w:t>
      </w:r>
      <w:r>
        <w:t xml:space="preserve"> de niveaus van volwassenhe</w:t>
      </w:r>
      <w:r w:rsidR="00591AA7">
        <w:t>i</w:t>
      </w:r>
      <w:r>
        <w:t>d die</w:t>
      </w:r>
      <w:r w:rsidR="001C017D">
        <w:t xml:space="preserve"> DNB</w:t>
      </w:r>
      <w:r>
        <w:t xml:space="preserve"> voor </w:t>
      </w:r>
      <w:r w:rsidR="00804AD9">
        <w:t xml:space="preserve">de sector </w:t>
      </w:r>
      <w:r>
        <w:t>heeft opgesteld.</w:t>
      </w:r>
      <w:r w:rsidR="0018029B">
        <w:t xml:space="preserve"> Vanzelfsprekend verwacht DNB dat u aan de minimale eisen voldoet. Daarnaast verwacht</w:t>
      </w:r>
      <w:r w:rsidR="001C017D">
        <w:t xml:space="preserve"> </w:t>
      </w:r>
      <w:r>
        <w:t xml:space="preserve">DNB </w:t>
      </w:r>
      <w:r w:rsidR="001C017D">
        <w:t>da</w:t>
      </w:r>
      <w:r w:rsidR="000C6C4C">
        <w:t>t u aan de hand van het volwassenheidsmodel</w:t>
      </w:r>
      <w:r w:rsidR="00010A6D">
        <w:t xml:space="preserve"> en de</w:t>
      </w:r>
      <w:r w:rsidR="0018029B">
        <w:t xml:space="preserve"> in dit document opgenomen</w:t>
      </w:r>
      <w:r w:rsidR="000C6C4C">
        <w:t xml:space="preserve"> </w:t>
      </w:r>
      <w:r w:rsidR="00010A6D">
        <w:t xml:space="preserve">handvatten </w:t>
      </w:r>
      <w:r w:rsidR="00AE7210">
        <w:t xml:space="preserve">waar nodig </w:t>
      </w:r>
      <w:r w:rsidR="001C017D">
        <w:t xml:space="preserve">verbeteringen </w:t>
      </w:r>
      <w:r w:rsidR="000C6C4C">
        <w:t xml:space="preserve">doorvoert </w:t>
      </w:r>
      <w:r w:rsidR="001C017D">
        <w:t xml:space="preserve">in uw </w:t>
      </w:r>
      <w:r w:rsidR="006B08F3">
        <w:t xml:space="preserve">bestaande </w:t>
      </w:r>
      <w:r w:rsidR="001C017D">
        <w:t>transactiemonitoringsproces</w:t>
      </w:r>
      <w:r w:rsidR="006B08F3">
        <w:t>.</w:t>
      </w:r>
    </w:p>
    <w:p w:rsidR="001C017D" w:rsidRDefault="001C017D" w:rsidP="001C017D"/>
    <w:p w:rsidR="001C017D" w:rsidRDefault="001C017D" w:rsidP="001C017D"/>
    <w:p w:rsidR="006B08F3" w:rsidRDefault="006B08F3" w:rsidP="001C017D"/>
    <w:p w:rsidR="006B08F3" w:rsidRDefault="006B08F3" w:rsidP="001C017D"/>
    <w:p w:rsidR="007A2B0F" w:rsidRDefault="007A2B0F">
      <w:pPr>
        <w:spacing w:after="160"/>
      </w:pPr>
      <w:r>
        <w:br w:type="page"/>
      </w:r>
    </w:p>
    <w:p w:rsidR="0091459E" w:rsidRPr="00C00ADD" w:rsidRDefault="007175BC" w:rsidP="00FD2BCD">
      <w:pPr>
        <w:pStyle w:val="Kop1"/>
      </w:pPr>
      <w:bookmarkStart w:id="2" w:name="_Toc483922726"/>
      <w:r w:rsidRPr="00C00ADD">
        <w:lastRenderedPageBreak/>
        <w:t>Inleiding</w:t>
      </w:r>
      <w:bookmarkEnd w:id="2"/>
    </w:p>
    <w:p w:rsidR="0091459E" w:rsidRPr="00C00ADD" w:rsidRDefault="0091459E" w:rsidP="0091459E">
      <w:pPr>
        <w:rPr>
          <w:szCs w:val="17"/>
        </w:rPr>
      </w:pPr>
    </w:p>
    <w:p w:rsidR="00041179" w:rsidRDefault="00041179" w:rsidP="00D36781">
      <w:pPr>
        <w:pStyle w:val="Kop2"/>
      </w:pPr>
      <w:bookmarkStart w:id="3" w:name="_Toc483922727"/>
      <w:r w:rsidRPr="00041179">
        <w:t xml:space="preserve">Waarom deze </w:t>
      </w:r>
      <w:r w:rsidR="002B6349">
        <w:t>guidance</w:t>
      </w:r>
      <w:r w:rsidRPr="00041179">
        <w:t>?</w:t>
      </w:r>
      <w:bookmarkEnd w:id="3"/>
    </w:p>
    <w:p w:rsidR="00897AB3" w:rsidRPr="00897AB3" w:rsidRDefault="00897AB3" w:rsidP="00897AB3"/>
    <w:p w:rsidR="00B84CA5" w:rsidRDefault="0028778F" w:rsidP="00041179">
      <w:pPr>
        <w:rPr>
          <w:szCs w:val="17"/>
        </w:rPr>
      </w:pPr>
      <w:r>
        <w:rPr>
          <w:szCs w:val="17"/>
        </w:rPr>
        <w:t>Financieel economische criminaliteit is van alle dag: de krante</w:t>
      </w:r>
      <w:r w:rsidR="007D6788">
        <w:rPr>
          <w:szCs w:val="17"/>
        </w:rPr>
        <w:t>n</w:t>
      </w:r>
      <w:r>
        <w:rPr>
          <w:szCs w:val="17"/>
        </w:rPr>
        <w:t>koppen laten zien dat de samenleving</w:t>
      </w:r>
      <w:r w:rsidR="0056397A">
        <w:rPr>
          <w:szCs w:val="17"/>
        </w:rPr>
        <w:t xml:space="preserve"> ongewild slachtoffer kan worden</w:t>
      </w:r>
      <w:r>
        <w:rPr>
          <w:szCs w:val="17"/>
        </w:rPr>
        <w:t xml:space="preserve"> van deze vorm van criminaliteit, denk aan </w:t>
      </w:r>
      <w:r w:rsidR="0056397A">
        <w:rPr>
          <w:szCs w:val="17"/>
        </w:rPr>
        <w:t xml:space="preserve">recente incidenten als </w:t>
      </w:r>
      <w:r>
        <w:rPr>
          <w:szCs w:val="17"/>
        </w:rPr>
        <w:t xml:space="preserve">de Panama Papers en terroristische aanslagen in West-Europa. Financiële ondernemingen, waaronder </w:t>
      </w:r>
      <w:r w:rsidR="00C5653C">
        <w:rPr>
          <w:szCs w:val="17"/>
        </w:rPr>
        <w:t>betaaldienstverleners</w:t>
      </w:r>
      <w:r w:rsidR="007D6788">
        <w:rPr>
          <w:szCs w:val="17"/>
        </w:rPr>
        <w:t>,</w:t>
      </w:r>
      <w:r>
        <w:rPr>
          <w:szCs w:val="17"/>
        </w:rPr>
        <w:t xml:space="preserve"> hebben een belangrijke rol </w:t>
      </w:r>
      <w:r w:rsidR="004F4051">
        <w:rPr>
          <w:szCs w:val="17"/>
        </w:rPr>
        <w:t xml:space="preserve">bij de bestrijding van </w:t>
      </w:r>
      <w:r>
        <w:rPr>
          <w:szCs w:val="17"/>
        </w:rPr>
        <w:t xml:space="preserve">financieel economische criminaliteit. </w:t>
      </w:r>
      <w:r w:rsidR="007D6788">
        <w:rPr>
          <w:szCs w:val="17"/>
        </w:rPr>
        <w:t>Daar</w:t>
      </w:r>
      <w:r w:rsidR="00B84CA5">
        <w:rPr>
          <w:szCs w:val="17"/>
        </w:rPr>
        <w:t xml:space="preserve">toe </w:t>
      </w:r>
      <w:r w:rsidR="007D6788">
        <w:rPr>
          <w:szCs w:val="17"/>
        </w:rPr>
        <w:t>voeren</w:t>
      </w:r>
      <w:r w:rsidR="00B84CA5">
        <w:rPr>
          <w:szCs w:val="17"/>
        </w:rPr>
        <w:t xml:space="preserve"> </w:t>
      </w:r>
      <w:r w:rsidR="00C5653C">
        <w:rPr>
          <w:szCs w:val="17"/>
        </w:rPr>
        <w:t>betaaldienstverleners</w:t>
      </w:r>
      <w:r w:rsidR="00B84CA5">
        <w:rPr>
          <w:szCs w:val="17"/>
        </w:rPr>
        <w:t xml:space="preserve"> onder meer cli</w:t>
      </w:r>
      <w:r w:rsidR="007D6788">
        <w:rPr>
          <w:szCs w:val="17"/>
        </w:rPr>
        <w:t>ë</w:t>
      </w:r>
      <w:r w:rsidR="00B84CA5">
        <w:rPr>
          <w:szCs w:val="17"/>
        </w:rPr>
        <w:t xml:space="preserve">ntenonderzoek </w:t>
      </w:r>
      <w:r w:rsidR="007D6788">
        <w:rPr>
          <w:szCs w:val="17"/>
        </w:rPr>
        <w:t xml:space="preserve">uit, </w:t>
      </w:r>
      <w:r w:rsidR="00B84CA5">
        <w:rPr>
          <w:szCs w:val="17"/>
        </w:rPr>
        <w:t xml:space="preserve">door middel van zogenoemde </w:t>
      </w:r>
      <w:r w:rsidR="00B84CA5" w:rsidRPr="00C5653C">
        <w:rPr>
          <w:i/>
          <w:szCs w:val="17"/>
        </w:rPr>
        <w:t>customer due diligence</w:t>
      </w:r>
      <w:r w:rsidR="00B84CA5">
        <w:rPr>
          <w:szCs w:val="17"/>
        </w:rPr>
        <w:t xml:space="preserve"> en monitor</w:t>
      </w:r>
      <w:r w:rsidR="007D6788">
        <w:rPr>
          <w:szCs w:val="17"/>
        </w:rPr>
        <w:t>en</w:t>
      </w:r>
      <w:r w:rsidR="00B84CA5">
        <w:rPr>
          <w:szCs w:val="17"/>
        </w:rPr>
        <w:t xml:space="preserve"> zij de uitgevoerde transacties van cliënten. </w:t>
      </w:r>
      <w:r w:rsidR="00455348">
        <w:rPr>
          <w:szCs w:val="17"/>
        </w:rPr>
        <w:t xml:space="preserve">Dit laatste, </w:t>
      </w:r>
      <w:r w:rsidR="007D6788">
        <w:rPr>
          <w:szCs w:val="17"/>
        </w:rPr>
        <w:t>de</w:t>
      </w:r>
      <w:r w:rsidR="00455348">
        <w:rPr>
          <w:szCs w:val="17"/>
        </w:rPr>
        <w:t xml:space="preserve"> transactiemonitoring, is onderwerp van deze guidance.</w:t>
      </w:r>
    </w:p>
    <w:p w:rsidR="00B84CA5" w:rsidRDefault="00B84CA5" w:rsidP="00041179">
      <w:pPr>
        <w:rPr>
          <w:szCs w:val="17"/>
        </w:rPr>
      </w:pPr>
    </w:p>
    <w:p w:rsidR="00AA4743" w:rsidRDefault="00041179" w:rsidP="00041179">
      <w:pPr>
        <w:rPr>
          <w:szCs w:val="17"/>
        </w:rPr>
      </w:pPr>
      <w:r w:rsidRPr="00041179">
        <w:rPr>
          <w:szCs w:val="17"/>
        </w:rPr>
        <w:t xml:space="preserve">Een </w:t>
      </w:r>
      <w:r>
        <w:rPr>
          <w:szCs w:val="17"/>
        </w:rPr>
        <w:t>b</w:t>
      </w:r>
      <w:r w:rsidR="00CB264B">
        <w:rPr>
          <w:szCs w:val="17"/>
        </w:rPr>
        <w:t>etaaldienstverlener</w:t>
      </w:r>
      <w:r w:rsidRPr="00041179">
        <w:rPr>
          <w:szCs w:val="17"/>
        </w:rPr>
        <w:t xml:space="preserve"> </w:t>
      </w:r>
      <w:r w:rsidR="00865974">
        <w:rPr>
          <w:szCs w:val="17"/>
        </w:rPr>
        <w:t>die</w:t>
      </w:r>
      <w:r w:rsidRPr="00041179">
        <w:rPr>
          <w:szCs w:val="17"/>
        </w:rPr>
        <w:t xml:space="preserve"> adequaat monitort welke transacties in het kader van haar dienstverlening worden uitgevoerd, kan tijdig ingrijpen als sprake </w:t>
      </w:r>
      <w:r w:rsidR="00833D18">
        <w:rPr>
          <w:szCs w:val="17"/>
        </w:rPr>
        <w:t>is</w:t>
      </w:r>
      <w:r w:rsidRPr="00041179">
        <w:rPr>
          <w:szCs w:val="17"/>
        </w:rPr>
        <w:t xml:space="preserve"> van een (mogelijk) ongebruikelijke transactie of een afwijkend transactiepatroon. Gebeurt dit niet, of niet goed, dan kan het zijn dat u</w:t>
      </w:r>
      <w:r w:rsidR="00CB264B">
        <w:rPr>
          <w:szCs w:val="17"/>
        </w:rPr>
        <w:t>w instelling</w:t>
      </w:r>
      <w:r w:rsidRPr="00041179">
        <w:rPr>
          <w:szCs w:val="17"/>
        </w:rPr>
        <w:t xml:space="preserve"> (ongewild) bijdraagt aan het financieren van terrorisme, of dat via uw kantoor crimineel geld witgewassen wordt. Uw functie als poortwachter van het Nederlandse financiële systeem vergt </w:t>
      </w:r>
      <w:r w:rsidR="00804AD9" w:rsidRPr="00041179">
        <w:rPr>
          <w:szCs w:val="17"/>
        </w:rPr>
        <w:t xml:space="preserve">onder meer </w:t>
      </w:r>
      <w:r w:rsidRPr="00041179">
        <w:rPr>
          <w:szCs w:val="17"/>
        </w:rPr>
        <w:t>dat u adequaat transacties monitort. Continu en alert. De wetgever heeft op dit gebied eisen geformuleerd waaraan</w:t>
      </w:r>
      <w:r w:rsidR="00441C03">
        <w:rPr>
          <w:szCs w:val="17"/>
        </w:rPr>
        <w:t xml:space="preserve"> uw instelling</w:t>
      </w:r>
      <w:r w:rsidRPr="00041179">
        <w:rPr>
          <w:szCs w:val="17"/>
        </w:rPr>
        <w:t xml:space="preserve"> moet voldoen. DNB heeft de wettelijke taak om toe te zien op naleving van de wet</w:t>
      </w:r>
      <w:r w:rsidR="00833D18">
        <w:rPr>
          <w:szCs w:val="17"/>
        </w:rPr>
        <w:t>-</w:t>
      </w:r>
      <w:r w:rsidRPr="00041179">
        <w:rPr>
          <w:szCs w:val="17"/>
        </w:rPr>
        <w:t xml:space="preserve"> en regelgeving in dit verband.</w:t>
      </w:r>
      <w:r w:rsidR="00A9472D">
        <w:rPr>
          <w:szCs w:val="17"/>
        </w:rPr>
        <w:t xml:space="preserve"> </w:t>
      </w:r>
      <w:r w:rsidRPr="00041179">
        <w:rPr>
          <w:szCs w:val="17"/>
        </w:rPr>
        <w:t>Transactiemonitoring is</w:t>
      </w:r>
      <w:r>
        <w:rPr>
          <w:szCs w:val="17"/>
        </w:rPr>
        <w:t xml:space="preserve"> verplicht voor iedere </w:t>
      </w:r>
      <w:r w:rsidR="00CB264B">
        <w:rPr>
          <w:szCs w:val="17"/>
        </w:rPr>
        <w:t>betaaldienstverlener</w:t>
      </w:r>
      <w:r w:rsidRPr="00041179">
        <w:rPr>
          <w:szCs w:val="17"/>
        </w:rPr>
        <w:t xml:space="preserve">; de praktische invulling hiervan wordt echter niet in detail voorgeschreven door wet- en regelgeving. </w:t>
      </w:r>
    </w:p>
    <w:p w:rsidR="00AA4743" w:rsidRDefault="00AA4743" w:rsidP="00041179">
      <w:pPr>
        <w:rPr>
          <w:szCs w:val="17"/>
        </w:rPr>
      </w:pPr>
    </w:p>
    <w:p w:rsidR="00804AD9" w:rsidRDefault="00041179" w:rsidP="00041179">
      <w:pPr>
        <w:rPr>
          <w:szCs w:val="17"/>
        </w:rPr>
      </w:pPr>
      <w:r w:rsidRPr="00C00ADD">
        <w:rPr>
          <w:szCs w:val="17"/>
        </w:rPr>
        <w:t xml:space="preserve">Het onderwerp transactiemonitoring is niet nieuw. De in dit document </w:t>
      </w:r>
      <w:r w:rsidR="00D20600">
        <w:rPr>
          <w:szCs w:val="17"/>
        </w:rPr>
        <w:t xml:space="preserve">opgenomen </w:t>
      </w:r>
      <w:r w:rsidR="007861F7">
        <w:rPr>
          <w:szCs w:val="17"/>
        </w:rPr>
        <w:t xml:space="preserve">aandachtspunten en voorbeelden </w:t>
      </w:r>
      <w:r w:rsidRPr="00C00ADD">
        <w:rPr>
          <w:szCs w:val="17"/>
        </w:rPr>
        <w:t xml:space="preserve">zijn specifiek bedoeld </w:t>
      </w:r>
      <w:r w:rsidR="00EB7220">
        <w:rPr>
          <w:szCs w:val="17"/>
        </w:rPr>
        <w:t xml:space="preserve">als handvatten </w:t>
      </w:r>
      <w:r w:rsidRPr="00C00ADD">
        <w:rPr>
          <w:szCs w:val="17"/>
        </w:rPr>
        <w:t xml:space="preserve">voor </w:t>
      </w:r>
      <w:r w:rsidR="006B08F3">
        <w:rPr>
          <w:szCs w:val="17"/>
        </w:rPr>
        <w:t xml:space="preserve">het </w:t>
      </w:r>
      <w:r w:rsidRPr="00C00ADD">
        <w:rPr>
          <w:szCs w:val="17"/>
        </w:rPr>
        <w:t>transactiemonitoring</w:t>
      </w:r>
      <w:r w:rsidR="006B08F3">
        <w:rPr>
          <w:szCs w:val="17"/>
        </w:rPr>
        <w:t>sproces</w:t>
      </w:r>
      <w:r w:rsidRPr="00C00ADD">
        <w:rPr>
          <w:szCs w:val="17"/>
        </w:rPr>
        <w:t xml:space="preserve"> </w:t>
      </w:r>
      <w:r w:rsidR="00804AD9">
        <w:rPr>
          <w:szCs w:val="17"/>
        </w:rPr>
        <w:t>van</w:t>
      </w:r>
      <w:r w:rsidR="00804AD9" w:rsidRPr="00C00ADD">
        <w:rPr>
          <w:szCs w:val="17"/>
        </w:rPr>
        <w:t xml:space="preserve"> </w:t>
      </w:r>
      <w:r w:rsidR="00C5653C">
        <w:rPr>
          <w:szCs w:val="17"/>
        </w:rPr>
        <w:t>betaaldienstverleners</w:t>
      </w:r>
      <w:r w:rsidRPr="00C00ADD">
        <w:rPr>
          <w:szCs w:val="17"/>
        </w:rPr>
        <w:t xml:space="preserve"> en gelden </w:t>
      </w:r>
      <w:r w:rsidR="00EB7220">
        <w:rPr>
          <w:szCs w:val="17"/>
        </w:rPr>
        <w:t>daarmee als</w:t>
      </w:r>
      <w:r w:rsidRPr="00C00ADD">
        <w:rPr>
          <w:szCs w:val="17"/>
        </w:rPr>
        <w:t xml:space="preserve"> een aanvulling op </w:t>
      </w:r>
      <w:r>
        <w:rPr>
          <w:szCs w:val="17"/>
        </w:rPr>
        <w:t xml:space="preserve">geldende wet- en regelgeving en </w:t>
      </w:r>
      <w:r w:rsidRPr="00C00ADD">
        <w:rPr>
          <w:szCs w:val="17"/>
        </w:rPr>
        <w:t>eerder uitgebrachte leidraden over dit onderwerp, zoals</w:t>
      </w:r>
      <w:r w:rsidR="00833D18">
        <w:rPr>
          <w:szCs w:val="17"/>
        </w:rPr>
        <w:t xml:space="preserve"> de</w:t>
      </w:r>
      <w:r w:rsidRPr="00C00ADD">
        <w:rPr>
          <w:szCs w:val="17"/>
        </w:rPr>
        <w:t xml:space="preserve"> </w:t>
      </w:r>
      <w:r w:rsidRPr="00C00ADD">
        <w:rPr>
          <w:i/>
          <w:szCs w:val="17"/>
        </w:rPr>
        <w:t xml:space="preserve">DNB </w:t>
      </w:r>
      <w:r w:rsidR="00806CF9">
        <w:rPr>
          <w:i/>
          <w:szCs w:val="17"/>
        </w:rPr>
        <w:t>L</w:t>
      </w:r>
      <w:r w:rsidRPr="00C00ADD">
        <w:rPr>
          <w:i/>
          <w:szCs w:val="17"/>
        </w:rPr>
        <w:t>eidraad Wwft en SW</w:t>
      </w:r>
      <w:r w:rsidR="0080447A">
        <w:rPr>
          <w:i/>
          <w:szCs w:val="17"/>
        </w:rPr>
        <w:t>, versie 3.0; april 2015</w:t>
      </w:r>
      <w:r w:rsidR="009A38BC">
        <w:rPr>
          <w:rStyle w:val="Voetnootmarkering"/>
          <w:i/>
          <w:szCs w:val="17"/>
        </w:rPr>
        <w:footnoteReference w:id="2"/>
      </w:r>
      <w:r w:rsidRPr="00C00ADD">
        <w:rPr>
          <w:i/>
          <w:szCs w:val="17"/>
        </w:rPr>
        <w:t>; Voorkoming misbruik financiële stelsel voor witwassen en financieren van terrorisme en beheersing van integriteitrisico</w:t>
      </w:r>
      <w:r w:rsidRPr="00C00ADD">
        <w:rPr>
          <w:szCs w:val="17"/>
        </w:rPr>
        <w:t xml:space="preserve"> en </w:t>
      </w:r>
      <w:r>
        <w:rPr>
          <w:szCs w:val="17"/>
        </w:rPr>
        <w:t>de</w:t>
      </w:r>
      <w:r w:rsidRPr="00C00ADD">
        <w:rPr>
          <w:i/>
          <w:szCs w:val="17"/>
        </w:rPr>
        <w:t xml:space="preserve"> Q&amp;A Beoordeling Ongoing Due Diligence Proces (WWFT en SW)</w:t>
      </w:r>
      <w:r w:rsidRPr="00C00ADD">
        <w:rPr>
          <w:szCs w:val="17"/>
        </w:rPr>
        <w:t xml:space="preserve"> (</w:t>
      </w:r>
      <w:r>
        <w:rPr>
          <w:szCs w:val="17"/>
        </w:rPr>
        <w:t xml:space="preserve">van </w:t>
      </w:r>
      <w:r w:rsidRPr="00C00ADD">
        <w:rPr>
          <w:szCs w:val="17"/>
        </w:rPr>
        <w:t>december 2013).</w:t>
      </w:r>
      <w:r w:rsidR="00EB7220">
        <w:rPr>
          <w:szCs w:val="17"/>
        </w:rPr>
        <w:t xml:space="preserve"> </w:t>
      </w:r>
    </w:p>
    <w:p w:rsidR="00804AD9" w:rsidRDefault="00804AD9" w:rsidP="00041179">
      <w:pPr>
        <w:rPr>
          <w:szCs w:val="17"/>
        </w:rPr>
      </w:pPr>
    </w:p>
    <w:p w:rsidR="00041179" w:rsidRDefault="00041179" w:rsidP="00041179">
      <w:pPr>
        <w:rPr>
          <w:szCs w:val="17"/>
        </w:rPr>
      </w:pPr>
      <w:r w:rsidRPr="00041179">
        <w:rPr>
          <w:szCs w:val="17"/>
        </w:rPr>
        <w:t>De</w:t>
      </w:r>
      <w:r w:rsidR="00804AD9">
        <w:rPr>
          <w:szCs w:val="17"/>
        </w:rPr>
        <w:t xml:space="preserve"> in dit document opgenomen</w:t>
      </w:r>
      <w:r w:rsidR="00A0617B">
        <w:rPr>
          <w:szCs w:val="17"/>
        </w:rPr>
        <w:t xml:space="preserve"> handvatten</w:t>
      </w:r>
      <w:r w:rsidRPr="00041179">
        <w:rPr>
          <w:szCs w:val="17"/>
        </w:rPr>
        <w:t xml:space="preserve"> kunnen uw </w:t>
      </w:r>
      <w:r w:rsidR="007D06ED">
        <w:rPr>
          <w:szCs w:val="17"/>
        </w:rPr>
        <w:t>instelling</w:t>
      </w:r>
      <w:r w:rsidRPr="00041179">
        <w:rPr>
          <w:szCs w:val="17"/>
        </w:rPr>
        <w:t xml:space="preserve"> helpen met het </w:t>
      </w:r>
      <w:r w:rsidR="00D20600">
        <w:rPr>
          <w:szCs w:val="17"/>
        </w:rPr>
        <w:t>op orde brengen van uw</w:t>
      </w:r>
      <w:r w:rsidRPr="00041179">
        <w:rPr>
          <w:szCs w:val="17"/>
        </w:rPr>
        <w:t xml:space="preserve"> transactiemonitoringsproces. DNB verwacht dan ook dat u </w:t>
      </w:r>
      <w:r w:rsidR="002B6349">
        <w:rPr>
          <w:szCs w:val="17"/>
        </w:rPr>
        <w:t xml:space="preserve">hier </w:t>
      </w:r>
      <w:r w:rsidRPr="00041179">
        <w:rPr>
          <w:szCs w:val="17"/>
        </w:rPr>
        <w:t xml:space="preserve">als sector goed </w:t>
      </w:r>
      <w:r w:rsidR="00804AD9">
        <w:rPr>
          <w:szCs w:val="17"/>
        </w:rPr>
        <w:t xml:space="preserve">kennis van </w:t>
      </w:r>
      <w:r w:rsidRPr="00041179">
        <w:rPr>
          <w:szCs w:val="17"/>
        </w:rPr>
        <w:t xml:space="preserve">neemt en daar waar nodig </w:t>
      </w:r>
      <w:r w:rsidR="006B08F3">
        <w:rPr>
          <w:szCs w:val="17"/>
        </w:rPr>
        <w:t>verbeteringen implementeert</w:t>
      </w:r>
      <w:r w:rsidRPr="00041179">
        <w:rPr>
          <w:szCs w:val="17"/>
        </w:rPr>
        <w:t xml:space="preserve"> in uw bedrijfsvoering.</w:t>
      </w:r>
    </w:p>
    <w:p w:rsidR="002A23E2" w:rsidRDefault="00F81144" w:rsidP="00D36781">
      <w:pPr>
        <w:pStyle w:val="Kop2"/>
      </w:pPr>
      <w:bookmarkStart w:id="4" w:name="_Toc479794854"/>
      <w:bookmarkStart w:id="5" w:name="_Toc479794923"/>
      <w:bookmarkStart w:id="6" w:name="_Toc483922728"/>
      <w:bookmarkEnd w:id="4"/>
      <w:bookmarkEnd w:id="5"/>
      <w:r>
        <w:t>Transactiemonitoring: w</w:t>
      </w:r>
      <w:r w:rsidR="002A2AD4">
        <w:t>ettelijke verplichting tot voortdurende controle op transacties</w:t>
      </w:r>
      <w:bookmarkEnd w:id="6"/>
    </w:p>
    <w:p w:rsidR="00897AB3" w:rsidRPr="00897AB3" w:rsidRDefault="00897AB3" w:rsidP="00897AB3"/>
    <w:p w:rsidR="00EB7220" w:rsidRDefault="00C5653C" w:rsidP="00EB7220">
      <w:pPr>
        <w:rPr>
          <w:szCs w:val="17"/>
        </w:rPr>
      </w:pPr>
      <w:r>
        <w:rPr>
          <w:szCs w:val="17"/>
        </w:rPr>
        <w:t>Betaaldienstverleners</w:t>
      </w:r>
      <w:r w:rsidR="00EB7220" w:rsidRPr="00C00ADD">
        <w:rPr>
          <w:szCs w:val="17"/>
        </w:rPr>
        <w:t xml:space="preserve"> </w:t>
      </w:r>
      <w:r w:rsidR="00EB7220">
        <w:rPr>
          <w:szCs w:val="17"/>
        </w:rPr>
        <w:t>zijn wettelijk verplicht</w:t>
      </w:r>
      <w:r w:rsidR="00EB7220" w:rsidRPr="00C00ADD">
        <w:rPr>
          <w:szCs w:val="17"/>
        </w:rPr>
        <w:t xml:space="preserve"> maatregelen</w:t>
      </w:r>
      <w:r w:rsidR="00806CF9">
        <w:rPr>
          <w:szCs w:val="17"/>
        </w:rPr>
        <w:t xml:space="preserve"> </w:t>
      </w:r>
      <w:r w:rsidR="00EB7220">
        <w:rPr>
          <w:szCs w:val="17"/>
        </w:rPr>
        <w:t xml:space="preserve">te </w:t>
      </w:r>
      <w:r w:rsidR="00EB7220" w:rsidRPr="00C00ADD">
        <w:rPr>
          <w:szCs w:val="17"/>
        </w:rPr>
        <w:t xml:space="preserve">nemen om witwassen en terrorismefinanciering te voorkomen. Hierdoor moeten zij </w:t>
      </w:r>
      <w:r w:rsidR="00154357">
        <w:rPr>
          <w:szCs w:val="17"/>
        </w:rPr>
        <w:t xml:space="preserve">bijzondere aandacht besteden aan </w:t>
      </w:r>
      <w:r w:rsidR="00EB7220" w:rsidRPr="00C00ADD">
        <w:rPr>
          <w:szCs w:val="17"/>
        </w:rPr>
        <w:t xml:space="preserve">ongebruikelijke transactiepatronen en transacties van cliënten, die </w:t>
      </w:r>
      <w:r w:rsidR="00154357">
        <w:rPr>
          <w:szCs w:val="17"/>
        </w:rPr>
        <w:t xml:space="preserve">naar hun aard </w:t>
      </w:r>
      <w:r w:rsidR="00EB7220" w:rsidRPr="00C00ADD">
        <w:rPr>
          <w:szCs w:val="17"/>
        </w:rPr>
        <w:t xml:space="preserve">een hoger risico op witwassen of het financieren van terrorisme met zich </w:t>
      </w:r>
      <w:r w:rsidR="002B6349">
        <w:rPr>
          <w:szCs w:val="17"/>
        </w:rPr>
        <w:t>mee</w:t>
      </w:r>
      <w:r w:rsidR="00EB7220" w:rsidRPr="00C00ADD">
        <w:rPr>
          <w:szCs w:val="17"/>
        </w:rPr>
        <w:t>brengen</w:t>
      </w:r>
      <w:r w:rsidR="00154357">
        <w:rPr>
          <w:szCs w:val="17"/>
        </w:rPr>
        <w:t xml:space="preserve">. Indien er aanleiding is om te veronderstellen dat </w:t>
      </w:r>
      <w:r w:rsidR="00973605">
        <w:rPr>
          <w:szCs w:val="17"/>
        </w:rPr>
        <w:t>een</w:t>
      </w:r>
      <w:r w:rsidR="00154357">
        <w:rPr>
          <w:szCs w:val="17"/>
        </w:rPr>
        <w:t xml:space="preserve"> transactie verband houdt met witwassen of terrorismefinanciering, </w:t>
      </w:r>
      <w:r w:rsidR="00973605">
        <w:rPr>
          <w:szCs w:val="17"/>
        </w:rPr>
        <w:t xml:space="preserve">dan </w:t>
      </w:r>
      <w:r w:rsidR="00154357">
        <w:rPr>
          <w:szCs w:val="17"/>
        </w:rPr>
        <w:t>moet</w:t>
      </w:r>
      <w:r w:rsidR="00973605">
        <w:rPr>
          <w:szCs w:val="17"/>
        </w:rPr>
        <w:t xml:space="preserve"> u als </w:t>
      </w:r>
      <w:r w:rsidR="007D06ED">
        <w:rPr>
          <w:szCs w:val="17"/>
        </w:rPr>
        <w:t>betaaldientsverlener</w:t>
      </w:r>
      <w:r w:rsidR="00441C03">
        <w:rPr>
          <w:szCs w:val="17"/>
        </w:rPr>
        <w:t xml:space="preserve"> </w:t>
      </w:r>
      <w:r w:rsidR="00154357">
        <w:rPr>
          <w:szCs w:val="17"/>
        </w:rPr>
        <w:t xml:space="preserve">deze als ongebruikelijke transactie melden bij de </w:t>
      </w:r>
      <w:r w:rsidR="00EB7220" w:rsidRPr="00C00ADD">
        <w:rPr>
          <w:szCs w:val="17"/>
        </w:rPr>
        <w:t xml:space="preserve">Financial Intelligence Unit </w:t>
      </w:r>
      <w:r w:rsidR="00EB7220">
        <w:rPr>
          <w:szCs w:val="17"/>
        </w:rPr>
        <w:t>–</w:t>
      </w:r>
      <w:r w:rsidR="00EB7220" w:rsidRPr="00C00ADD">
        <w:rPr>
          <w:szCs w:val="17"/>
        </w:rPr>
        <w:t xml:space="preserve"> Nederland</w:t>
      </w:r>
      <w:r w:rsidR="00EB7220">
        <w:rPr>
          <w:szCs w:val="17"/>
        </w:rPr>
        <w:t xml:space="preserve"> (</w:t>
      </w:r>
      <w:r w:rsidR="002B68CE">
        <w:rPr>
          <w:szCs w:val="17"/>
        </w:rPr>
        <w:t>FIU-NL</w:t>
      </w:r>
      <w:r w:rsidR="00EB7220">
        <w:rPr>
          <w:szCs w:val="17"/>
        </w:rPr>
        <w:t>)</w:t>
      </w:r>
      <w:r w:rsidR="00806CF9">
        <w:rPr>
          <w:szCs w:val="17"/>
        </w:rPr>
        <w:t>.</w:t>
      </w:r>
      <w:r w:rsidR="00331E32">
        <w:rPr>
          <w:rStyle w:val="Voetnootmarkering"/>
          <w:szCs w:val="17"/>
        </w:rPr>
        <w:footnoteReference w:id="3"/>
      </w:r>
      <w:r w:rsidR="00EB7220" w:rsidRPr="00C00ADD">
        <w:rPr>
          <w:szCs w:val="17"/>
        </w:rPr>
        <w:t xml:space="preserve"> </w:t>
      </w:r>
      <w:r w:rsidR="00EB7220">
        <w:rPr>
          <w:szCs w:val="17"/>
        </w:rPr>
        <w:t xml:space="preserve">Om dit te kunnen doen is </w:t>
      </w:r>
      <w:r w:rsidR="002B6349">
        <w:rPr>
          <w:szCs w:val="17"/>
        </w:rPr>
        <w:t xml:space="preserve">het </w:t>
      </w:r>
      <w:r w:rsidR="00EB7220">
        <w:rPr>
          <w:szCs w:val="17"/>
        </w:rPr>
        <w:t xml:space="preserve">van cruciaal belang dat </w:t>
      </w:r>
      <w:r>
        <w:rPr>
          <w:szCs w:val="17"/>
        </w:rPr>
        <w:t>betaaldienstverleners</w:t>
      </w:r>
      <w:r w:rsidR="00EB7220">
        <w:rPr>
          <w:szCs w:val="17"/>
        </w:rPr>
        <w:t xml:space="preserve"> beschikken over een effectief </w:t>
      </w:r>
      <w:r w:rsidR="00EB7220" w:rsidRPr="00C00ADD">
        <w:rPr>
          <w:szCs w:val="17"/>
        </w:rPr>
        <w:t>transactiemonitoringsproces</w:t>
      </w:r>
      <w:r w:rsidR="00EB7220">
        <w:rPr>
          <w:szCs w:val="17"/>
        </w:rPr>
        <w:t>.</w:t>
      </w:r>
      <w:r w:rsidR="007F4A1B">
        <w:rPr>
          <w:rStyle w:val="Voetnootmarkering"/>
          <w:szCs w:val="17"/>
        </w:rPr>
        <w:footnoteReference w:id="4"/>
      </w:r>
    </w:p>
    <w:p w:rsidR="00EB7220" w:rsidRDefault="00EB7220" w:rsidP="0091459E">
      <w:pPr>
        <w:rPr>
          <w:szCs w:val="17"/>
        </w:rPr>
      </w:pPr>
    </w:p>
    <w:p w:rsidR="00AC3F2B" w:rsidRDefault="00AC3F2B" w:rsidP="00B724C1">
      <w:pPr>
        <w:rPr>
          <w:szCs w:val="17"/>
        </w:rPr>
      </w:pPr>
      <w:r>
        <w:rPr>
          <w:szCs w:val="17"/>
        </w:rPr>
        <w:t xml:space="preserve">Om een adequate voortdurende controle </w:t>
      </w:r>
      <w:r w:rsidR="00806CF9">
        <w:rPr>
          <w:szCs w:val="17"/>
        </w:rPr>
        <w:t xml:space="preserve">uit </w:t>
      </w:r>
      <w:r>
        <w:rPr>
          <w:szCs w:val="17"/>
        </w:rPr>
        <w:t xml:space="preserve">te </w:t>
      </w:r>
      <w:r w:rsidR="00806CF9">
        <w:rPr>
          <w:szCs w:val="17"/>
        </w:rPr>
        <w:t>oefenen</w:t>
      </w:r>
      <w:r>
        <w:rPr>
          <w:szCs w:val="17"/>
        </w:rPr>
        <w:t xml:space="preserve">, dienen </w:t>
      </w:r>
      <w:r w:rsidR="00C5653C">
        <w:rPr>
          <w:szCs w:val="17"/>
        </w:rPr>
        <w:t>betaaldienstverleners</w:t>
      </w:r>
      <w:r>
        <w:rPr>
          <w:szCs w:val="17"/>
        </w:rPr>
        <w:t xml:space="preserve"> </w:t>
      </w:r>
      <w:r w:rsidR="00392D76">
        <w:rPr>
          <w:szCs w:val="17"/>
        </w:rPr>
        <w:t xml:space="preserve">op grond van artikel 10 Besluit prudentiële regels Wft (Bpr) </w:t>
      </w:r>
      <w:r>
        <w:rPr>
          <w:szCs w:val="17"/>
        </w:rPr>
        <w:t xml:space="preserve">allereerst </w:t>
      </w:r>
      <w:r w:rsidR="00661185">
        <w:rPr>
          <w:szCs w:val="17"/>
        </w:rPr>
        <w:t>zorg te dragen voor</w:t>
      </w:r>
      <w:r w:rsidR="00B724C1">
        <w:rPr>
          <w:szCs w:val="17"/>
        </w:rPr>
        <w:t xml:space="preserve"> een systematische </w:t>
      </w:r>
      <w:r>
        <w:rPr>
          <w:szCs w:val="17"/>
        </w:rPr>
        <w:t>integrititeitrisicoanalyse</w:t>
      </w:r>
      <w:r w:rsidR="00B724C1">
        <w:rPr>
          <w:szCs w:val="17"/>
        </w:rPr>
        <w:t xml:space="preserve"> (SIRA)</w:t>
      </w:r>
      <w:r>
        <w:rPr>
          <w:szCs w:val="17"/>
        </w:rPr>
        <w:t>.</w:t>
      </w:r>
      <w:r w:rsidR="00392D76">
        <w:rPr>
          <w:szCs w:val="17"/>
        </w:rPr>
        <w:t xml:space="preserve"> Integriteitsrisico’s zijn daarbij gedefinieerd als het</w:t>
      </w:r>
      <w:r w:rsidR="008F6F8E">
        <w:rPr>
          <w:szCs w:val="17"/>
        </w:rPr>
        <w:t xml:space="preserve"> “</w:t>
      </w:r>
      <w:r w:rsidR="00392D76">
        <w:rPr>
          <w:szCs w:val="17"/>
        </w:rPr>
        <w:t xml:space="preserve">gevaar voor aantasting van de reputatie of bestaande of toekomstige bedreiging </w:t>
      </w:r>
      <w:r w:rsidR="00B724C1">
        <w:rPr>
          <w:szCs w:val="17"/>
        </w:rPr>
        <w:t>van vermogen of resultaat van een financiële onderneming als gevolg van een ontoereikende naleving van hetgeen bij of krachtens enig wettelijk voorschrift is voorgeschreven</w:t>
      </w:r>
      <w:r w:rsidR="008F6F8E">
        <w:rPr>
          <w:szCs w:val="17"/>
        </w:rPr>
        <w:t>”</w:t>
      </w:r>
      <w:r w:rsidR="00B724C1">
        <w:rPr>
          <w:szCs w:val="17"/>
        </w:rPr>
        <w:t>.</w:t>
      </w:r>
      <w:r w:rsidR="00B724C1">
        <w:rPr>
          <w:rStyle w:val="Voetnootmarkering"/>
          <w:szCs w:val="17"/>
        </w:rPr>
        <w:footnoteReference w:id="5"/>
      </w:r>
      <w:r>
        <w:rPr>
          <w:szCs w:val="17"/>
        </w:rPr>
        <w:t xml:space="preserve"> </w:t>
      </w:r>
      <w:r w:rsidR="00197D55">
        <w:rPr>
          <w:szCs w:val="17"/>
        </w:rPr>
        <w:t xml:space="preserve">Daartoe behoren dus ook de risico’s op witwassen </w:t>
      </w:r>
      <w:r w:rsidR="005E3F04">
        <w:rPr>
          <w:szCs w:val="17"/>
        </w:rPr>
        <w:t xml:space="preserve">en </w:t>
      </w:r>
      <w:r w:rsidR="00197D55">
        <w:rPr>
          <w:szCs w:val="17"/>
        </w:rPr>
        <w:t>financieren van terrorisme.</w:t>
      </w:r>
      <w:r w:rsidR="00506D59">
        <w:rPr>
          <w:szCs w:val="17"/>
        </w:rPr>
        <w:t xml:space="preserve"> </w:t>
      </w:r>
      <w:r w:rsidR="00B724C1">
        <w:rPr>
          <w:szCs w:val="17"/>
        </w:rPr>
        <w:t xml:space="preserve">Indien naar aanleiding van de analyse (rest)risico’s gesignaleerd worden, </w:t>
      </w:r>
      <w:r w:rsidR="00973605">
        <w:rPr>
          <w:szCs w:val="17"/>
        </w:rPr>
        <w:t xml:space="preserve">moeten </w:t>
      </w:r>
      <w:r w:rsidR="00C5653C">
        <w:rPr>
          <w:szCs w:val="17"/>
        </w:rPr>
        <w:t>betaaldienstverleners</w:t>
      </w:r>
      <w:r w:rsidR="005E3F04">
        <w:rPr>
          <w:szCs w:val="17"/>
        </w:rPr>
        <w:t xml:space="preserve"> hiervoor</w:t>
      </w:r>
      <w:r w:rsidR="00B724C1">
        <w:rPr>
          <w:szCs w:val="17"/>
        </w:rPr>
        <w:t xml:space="preserve"> beleid</w:t>
      </w:r>
      <w:r w:rsidR="00B92B25">
        <w:rPr>
          <w:szCs w:val="17"/>
        </w:rPr>
        <w:t xml:space="preserve"> formuler</w:t>
      </w:r>
      <w:r w:rsidR="00973605">
        <w:rPr>
          <w:szCs w:val="17"/>
        </w:rPr>
        <w:t>en,</w:t>
      </w:r>
      <w:r w:rsidR="00B92B25">
        <w:rPr>
          <w:szCs w:val="17"/>
        </w:rPr>
        <w:t xml:space="preserve"> </w:t>
      </w:r>
      <w:r w:rsidR="00B724C1">
        <w:rPr>
          <w:szCs w:val="17"/>
        </w:rPr>
        <w:t xml:space="preserve">procedures </w:t>
      </w:r>
      <w:r w:rsidR="00973605">
        <w:rPr>
          <w:szCs w:val="17"/>
        </w:rPr>
        <w:t xml:space="preserve">instellen </w:t>
      </w:r>
      <w:r w:rsidR="00B724C1">
        <w:rPr>
          <w:szCs w:val="17"/>
        </w:rPr>
        <w:t>en maatregelen</w:t>
      </w:r>
      <w:r w:rsidR="005E3F04">
        <w:rPr>
          <w:szCs w:val="17"/>
        </w:rPr>
        <w:t xml:space="preserve"> </w:t>
      </w:r>
      <w:r w:rsidR="00973605">
        <w:rPr>
          <w:szCs w:val="17"/>
        </w:rPr>
        <w:t>treffen</w:t>
      </w:r>
      <w:r w:rsidR="00B724C1">
        <w:rPr>
          <w:szCs w:val="17"/>
        </w:rPr>
        <w:t>.</w:t>
      </w:r>
      <w:r w:rsidR="00F20A62">
        <w:rPr>
          <w:szCs w:val="17"/>
        </w:rPr>
        <w:t xml:space="preserve"> </w:t>
      </w:r>
    </w:p>
    <w:p w:rsidR="00AC3F2B" w:rsidRDefault="00AC3F2B" w:rsidP="00F07A36">
      <w:pPr>
        <w:rPr>
          <w:szCs w:val="17"/>
        </w:rPr>
      </w:pPr>
    </w:p>
    <w:p w:rsidR="005E3F04" w:rsidRDefault="00197D55" w:rsidP="00F07A36">
      <w:pPr>
        <w:rPr>
          <w:szCs w:val="17"/>
        </w:rPr>
      </w:pPr>
      <w:r>
        <w:rPr>
          <w:szCs w:val="17"/>
        </w:rPr>
        <w:t>Specifiek ten aanzien van de risico’s op witwassen en terrorismefinancier</w:t>
      </w:r>
      <w:r w:rsidR="007C7333">
        <w:rPr>
          <w:szCs w:val="17"/>
        </w:rPr>
        <w:t>i</w:t>
      </w:r>
      <w:r>
        <w:rPr>
          <w:szCs w:val="17"/>
        </w:rPr>
        <w:t>ng bepaalt d</w:t>
      </w:r>
      <w:r w:rsidR="009200F0" w:rsidRPr="00C00ADD">
        <w:rPr>
          <w:szCs w:val="17"/>
        </w:rPr>
        <w:t>e Wet ter voorkoming van witwassen en financieren van terrorisme (W</w:t>
      </w:r>
      <w:r w:rsidR="00B81904">
        <w:rPr>
          <w:szCs w:val="17"/>
        </w:rPr>
        <w:t>wft</w:t>
      </w:r>
      <w:r w:rsidR="009200F0" w:rsidRPr="00C00ADD">
        <w:rPr>
          <w:szCs w:val="17"/>
        </w:rPr>
        <w:t>) dat een b</w:t>
      </w:r>
      <w:r w:rsidR="00B81904">
        <w:rPr>
          <w:szCs w:val="17"/>
        </w:rPr>
        <w:t>etaaldienstverlener</w:t>
      </w:r>
      <w:r w:rsidR="009200F0" w:rsidRPr="00C00ADD">
        <w:rPr>
          <w:szCs w:val="17"/>
        </w:rPr>
        <w:t xml:space="preserve"> </w:t>
      </w:r>
      <w:r w:rsidR="00F07A36">
        <w:rPr>
          <w:szCs w:val="17"/>
        </w:rPr>
        <w:t xml:space="preserve">ter voorkoming </w:t>
      </w:r>
      <w:r>
        <w:rPr>
          <w:szCs w:val="17"/>
        </w:rPr>
        <w:t>daarvan</w:t>
      </w:r>
      <w:r w:rsidR="00F07A36">
        <w:rPr>
          <w:szCs w:val="17"/>
        </w:rPr>
        <w:t xml:space="preserve"> </w:t>
      </w:r>
      <w:r w:rsidR="00145D29">
        <w:rPr>
          <w:szCs w:val="17"/>
        </w:rPr>
        <w:t>onderzoek moet doen naar zijn cli</w:t>
      </w:r>
      <w:r w:rsidR="00F07A36">
        <w:rPr>
          <w:szCs w:val="17"/>
        </w:rPr>
        <w:t>ënten.</w:t>
      </w:r>
      <w:r w:rsidR="00DB35E0">
        <w:rPr>
          <w:rStyle w:val="Voetnootmarkering"/>
          <w:szCs w:val="17"/>
        </w:rPr>
        <w:footnoteReference w:id="6"/>
      </w:r>
      <w:r w:rsidR="00F07A36">
        <w:rPr>
          <w:szCs w:val="17"/>
        </w:rPr>
        <w:t xml:space="preserve"> Daarbij dient </w:t>
      </w:r>
      <w:r w:rsidR="00B81904">
        <w:rPr>
          <w:szCs w:val="17"/>
        </w:rPr>
        <w:t>u</w:t>
      </w:r>
      <w:r w:rsidR="00F07A36">
        <w:rPr>
          <w:szCs w:val="17"/>
        </w:rPr>
        <w:t xml:space="preserve"> het doel en de beoogde </w:t>
      </w:r>
      <w:r w:rsidR="00B81904">
        <w:rPr>
          <w:szCs w:val="17"/>
        </w:rPr>
        <w:t>aard</w:t>
      </w:r>
      <w:r w:rsidR="00F07A36">
        <w:rPr>
          <w:szCs w:val="17"/>
        </w:rPr>
        <w:t xml:space="preserve"> van de zakelijke relatie vast te stellen. Ook moet </w:t>
      </w:r>
      <w:r w:rsidR="00B81904">
        <w:rPr>
          <w:szCs w:val="17"/>
        </w:rPr>
        <w:t>u</w:t>
      </w:r>
      <w:r w:rsidR="00F07A36">
        <w:rPr>
          <w:szCs w:val="17"/>
        </w:rPr>
        <w:t xml:space="preserve"> een </w:t>
      </w:r>
      <w:r w:rsidR="0091459E" w:rsidRPr="00C64DC9">
        <w:rPr>
          <w:szCs w:val="17"/>
        </w:rPr>
        <w:t>voortdurende controle</w:t>
      </w:r>
      <w:r w:rsidR="0091459E" w:rsidRPr="00C00ADD">
        <w:rPr>
          <w:szCs w:val="17"/>
        </w:rPr>
        <w:t xml:space="preserve"> op de zakelijke relatie en de tijdens de duur van deze relatie verrichte transacties</w:t>
      </w:r>
      <w:r w:rsidR="008B31EB" w:rsidRPr="008B31EB">
        <w:rPr>
          <w:szCs w:val="17"/>
        </w:rPr>
        <w:t xml:space="preserve"> </w:t>
      </w:r>
      <w:r w:rsidR="008B31EB" w:rsidRPr="00C00ADD">
        <w:rPr>
          <w:szCs w:val="17"/>
        </w:rPr>
        <w:t>uitoefenen.</w:t>
      </w:r>
      <w:r w:rsidR="00B46D02">
        <w:rPr>
          <w:rStyle w:val="Voetnootmarkering"/>
          <w:szCs w:val="17"/>
        </w:rPr>
        <w:footnoteReference w:id="7"/>
      </w:r>
      <w:r w:rsidR="0091459E" w:rsidRPr="00C00ADD">
        <w:rPr>
          <w:szCs w:val="17"/>
        </w:rPr>
        <w:t xml:space="preserve"> </w:t>
      </w:r>
      <w:r w:rsidR="003E0DDD">
        <w:rPr>
          <w:szCs w:val="17"/>
        </w:rPr>
        <w:t>Zo kun</w:t>
      </w:r>
      <w:r w:rsidR="00523093">
        <w:rPr>
          <w:szCs w:val="17"/>
        </w:rPr>
        <w:t>t</w:t>
      </w:r>
      <w:r w:rsidR="003E0DDD">
        <w:rPr>
          <w:szCs w:val="17"/>
        </w:rPr>
        <w:t xml:space="preserve"> </w:t>
      </w:r>
      <w:r w:rsidR="00523093">
        <w:rPr>
          <w:szCs w:val="17"/>
        </w:rPr>
        <w:t>u vaststellen of</w:t>
      </w:r>
      <w:r w:rsidR="0091459E" w:rsidRPr="00C00ADD">
        <w:rPr>
          <w:szCs w:val="17"/>
        </w:rPr>
        <w:t xml:space="preserve"> deze </w:t>
      </w:r>
      <w:r w:rsidR="00911110" w:rsidRPr="00C00ADD">
        <w:rPr>
          <w:szCs w:val="17"/>
        </w:rPr>
        <w:t xml:space="preserve">transacties </w:t>
      </w:r>
      <w:r w:rsidR="0091459E" w:rsidRPr="00C00ADD">
        <w:rPr>
          <w:szCs w:val="17"/>
        </w:rPr>
        <w:t xml:space="preserve">overeenkomen met de kennis die </w:t>
      </w:r>
      <w:r w:rsidR="00523093">
        <w:rPr>
          <w:szCs w:val="17"/>
        </w:rPr>
        <w:t>u</w:t>
      </w:r>
      <w:r w:rsidR="0091459E" w:rsidRPr="00C00ADD">
        <w:rPr>
          <w:szCs w:val="17"/>
        </w:rPr>
        <w:t xml:space="preserve"> heeft van de cliënt en diens risicoprofiel.</w:t>
      </w:r>
      <w:r w:rsidR="0000614B">
        <w:rPr>
          <w:rStyle w:val="Voetnootmarkering"/>
          <w:szCs w:val="17"/>
        </w:rPr>
        <w:footnoteReference w:id="8"/>
      </w:r>
      <w:r w:rsidR="0091459E" w:rsidRPr="00C00ADD">
        <w:rPr>
          <w:szCs w:val="17"/>
        </w:rPr>
        <w:t xml:space="preserve"> </w:t>
      </w:r>
    </w:p>
    <w:p w:rsidR="005E3F04" w:rsidRDefault="005E3F04" w:rsidP="00F07A36">
      <w:pPr>
        <w:rPr>
          <w:szCs w:val="17"/>
        </w:rPr>
      </w:pPr>
    </w:p>
    <w:p w:rsidR="00FD63BD" w:rsidRDefault="0091459E" w:rsidP="00F07A36">
      <w:pPr>
        <w:rPr>
          <w:szCs w:val="17"/>
        </w:rPr>
      </w:pPr>
      <w:r w:rsidRPr="00C00ADD">
        <w:rPr>
          <w:szCs w:val="17"/>
        </w:rPr>
        <w:t xml:space="preserve">Het begrip </w:t>
      </w:r>
      <w:r w:rsidR="008F6F8E">
        <w:rPr>
          <w:szCs w:val="17"/>
        </w:rPr>
        <w:t>”</w:t>
      </w:r>
      <w:r w:rsidRPr="00C00ADD">
        <w:rPr>
          <w:szCs w:val="17"/>
        </w:rPr>
        <w:t>voortdurende controle</w:t>
      </w:r>
      <w:r w:rsidR="008F6F8E">
        <w:rPr>
          <w:szCs w:val="17"/>
        </w:rPr>
        <w:t>”</w:t>
      </w:r>
      <w:r w:rsidRPr="00C00ADD">
        <w:rPr>
          <w:szCs w:val="17"/>
        </w:rPr>
        <w:t xml:space="preserve"> staat centraal in het proces van transactiemonitoring en kan door </w:t>
      </w:r>
      <w:r w:rsidR="002B6349">
        <w:rPr>
          <w:szCs w:val="17"/>
        </w:rPr>
        <w:t>uw</w:t>
      </w:r>
      <w:r w:rsidR="002B6349" w:rsidRPr="00C00ADD">
        <w:rPr>
          <w:szCs w:val="17"/>
        </w:rPr>
        <w:t xml:space="preserve"> </w:t>
      </w:r>
      <w:r w:rsidR="00B81904">
        <w:rPr>
          <w:szCs w:val="17"/>
        </w:rPr>
        <w:t>instelling</w:t>
      </w:r>
      <w:r w:rsidRPr="00C00ADD">
        <w:rPr>
          <w:szCs w:val="17"/>
        </w:rPr>
        <w:t xml:space="preserve"> op eigen wijze worden ingevuld.</w:t>
      </w:r>
      <w:r w:rsidR="005E3F04">
        <w:rPr>
          <w:szCs w:val="17"/>
        </w:rPr>
        <w:t xml:space="preserve"> </w:t>
      </w:r>
      <w:r w:rsidR="00A0617B">
        <w:rPr>
          <w:szCs w:val="17"/>
        </w:rPr>
        <w:t>Verwacht mag worden</w:t>
      </w:r>
      <w:r w:rsidR="00DD47B0">
        <w:rPr>
          <w:szCs w:val="17"/>
        </w:rPr>
        <w:t xml:space="preserve"> </w:t>
      </w:r>
      <w:r w:rsidR="00A0617B">
        <w:rPr>
          <w:szCs w:val="17"/>
        </w:rPr>
        <w:t xml:space="preserve">dat </w:t>
      </w:r>
      <w:r w:rsidR="002B6349">
        <w:rPr>
          <w:szCs w:val="17"/>
        </w:rPr>
        <w:t>u</w:t>
      </w:r>
      <w:r w:rsidR="007F4A1B">
        <w:rPr>
          <w:szCs w:val="17"/>
        </w:rPr>
        <w:t xml:space="preserve"> </w:t>
      </w:r>
      <w:r w:rsidR="00A0617B">
        <w:rPr>
          <w:szCs w:val="17"/>
        </w:rPr>
        <w:t xml:space="preserve">beschikt over </w:t>
      </w:r>
      <w:r w:rsidR="00044348">
        <w:rPr>
          <w:szCs w:val="17"/>
        </w:rPr>
        <w:t>een transactiemonitoring</w:t>
      </w:r>
      <w:r w:rsidR="007F4A1B">
        <w:rPr>
          <w:szCs w:val="17"/>
        </w:rPr>
        <w:t>s</w:t>
      </w:r>
      <w:r w:rsidR="00044348">
        <w:rPr>
          <w:szCs w:val="17"/>
        </w:rPr>
        <w:t xml:space="preserve">systeem waarbij transacties worden gemonitord en mogelijk ongebruikelijke transactiepatronen en transacties worden ingebracht in een alertafhandelingsproces. </w:t>
      </w:r>
      <w:r w:rsidR="00783118">
        <w:rPr>
          <w:szCs w:val="17"/>
        </w:rPr>
        <w:t xml:space="preserve">Om </w:t>
      </w:r>
      <w:r w:rsidR="00FF3AF6">
        <w:rPr>
          <w:szCs w:val="17"/>
        </w:rPr>
        <w:t>dergelijke</w:t>
      </w:r>
      <w:r w:rsidR="00783118">
        <w:rPr>
          <w:szCs w:val="17"/>
        </w:rPr>
        <w:t xml:space="preserve"> transactiepatronen en transacties te kunnen identificeren</w:t>
      </w:r>
      <w:r w:rsidR="002B6349">
        <w:rPr>
          <w:szCs w:val="17"/>
        </w:rPr>
        <w:t>,</w:t>
      </w:r>
      <w:r w:rsidR="00783118">
        <w:rPr>
          <w:szCs w:val="17"/>
        </w:rPr>
        <w:t xml:space="preserve"> </w:t>
      </w:r>
      <w:r w:rsidR="00A0617B">
        <w:rPr>
          <w:szCs w:val="17"/>
        </w:rPr>
        <w:t>heeft</w:t>
      </w:r>
      <w:r w:rsidR="00783118">
        <w:rPr>
          <w:szCs w:val="17"/>
        </w:rPr>
        <w:t xml:space="preserve"> </w:t>
      </w:r>
      <w:r w:rsidR="002B6349">
        <w:rPr>
          <w:szCs w:val="17"/>
        </w:rPr>
        <w:t>uw</w:t>
      </w:r>
      <w:r w:rsidR="00783118">
        <w:rPr>
          <w:szCs w:val="17"/>
        </w:rPr>
        <w:t xml:space="preserve"> </w:t>
      </w:r>
      <w:r w:rsidR="00B81904">
        <w:rPr>
          <w:szCs w:val="17"/>
        </w:rPr>
        <w:t>instelling</w:t>
      </w:r>
      <w:r w:rsidR="00783118">
        <w:rPr>
          <w:szCs w:val="17"/>
        </w:rPr>
        <w:t xml:space="preserve"> indicatoren </w:t>
      </w:r>
      <w:r w:rsidR="00946771">
        <w:rPr>
          <w:szCs w:val="17"/>
        </w:rPr>
        <w:t xml:space="preserve">en </w:t>
      </w:r>
      <w:r w:rsidR="00783118">
        <w:rPr>
          <w:szCs w:val="17"/>
        </w:rPr>
        <w:t>red flags</w:t>
      </w:r>
      <w:r w:rsidR="00DD47B0">
        <w:rPr>
          <w:szCs w:val="17"/>
        </w:rPr>
        <w:t xml:space="preserve"> </w:t>
      </w:r>
      <w:r w:rsidR="00783118">
        <w:rPr>
          <w:szCs w:val="17"/>
        </w:rPr>
        <w:t>opgesteld.</w:t>
      </w:r>
      <w:r w:rsidR="00DD47B0">
        <w:rPr>
          <w:rStyle w:val="Voetnootmarkering"/>
          <w:szCs w:val="17"/>
        </w:rPr>
        <w:t xml:space="preserve"> </w:t>
      </w:r>
      <w:r w:rsidR="00CE6D6D">
        <w:rPr>
          <w:szCs w:val="17"/>
        </w:rPr>
        <w:t xml:space="preserve">Bij dit proces </w:t>
      </w:r>
      <w:r w:rsidR="00783118">
        <w:rPr>
          <w:szCs w:val="17"/>
        </w:rPr>
        <w:t xml:space="preserve">dient </w:t>
      </w:r>
      <w:r w:rsidR="002B6349">
        <w:rPr>
          <w:szCs w:val="17"/>
        </w:rPr>
        <w:t xml:space="preserve">u </w:t>
      </w:r>
      <w:r w:rsidR="00783118">
        <w:rPr>
          <w:szCs w:val="17"/>
        </w:rPr>
        <w:t xml:space="preserve">bijzondere aandacht te </w:t>
      </w:r>
      <w:r w:rsidR="002B6349">
        <w:rPr>
          <w:szCs w:val="17"/>
        </w:rPr>
        <w:t>hebben</w:t>
      </w:r>
      <w:r w:rsidR="00783118">
        <w:rPr>
          <w:szCs w:val="17"/>
        </w:rPr>
        <w:t xml:space="preserve"> besteed aan ongebruikelijke transactiepatronen en transacties die naar hun aard een hoger risico op witwassen of financieren van terrorisme met zich </w:t>
      </w:r>
      <w:r w:rsidR="002B6349">
        <w:rPr>
          <w:szCs w:val="17"/>
        </w:rPr>
        <w:t>mee</w:t>
      </w:r>
      <w:r w:rsidR="00783118">
        <w:rPr>
          <w:szCs w:val="17"/>
        </w:rPr>
        <w:t>brengen.</w:t>
      </w:r>
      <w:r w:rsidR="00FF3AF6">
        <w:rPr>
          <w:rStyle w:val="Voetnootmarkering"/>
          <w:szCs w:val="17"/>
        </w:rPr>
        <w:footnoteReference w:id="9"/>
      </w:r>
    </w:p>
    <w:p w:rsidR="00FD63BD" w:rsidRDefault="00FD63BD" w:rsidP="00F07A36">
      <w:pPr>
        <w:rPr>
          <w:szCs w:val="17"/>
        </w:rPr>
      </w:pPr>
    </w:p>
    <w:p w:rsidR="00DF60E8" w:rsidRDefault="00FD63BD" w:rsidP="00F07A36">
      <w:pPr>
        <w:rPr>
          <w:szCs w:val="17"/>
        </w:rPr>
      </w:pPr>
      <w:r>
        <w:rPr>
          <w:szCs w:val="17"/>
        </w:rPr>
        <w:t>Een verrichte of voorgenomen ongebruikelijke transactie moet onverwijld worden gemeld aan</w:t>
      </w:r>
      <w:r w:rsidR="00CE6D6D">
        <w:rPr>
          <w:szCs w:val="17"/>
        </w:rPr>
        <w:t xml:space="preserve"> de</w:t>
      </w:r>
      <w:r>
        <w:rPr>
          <w:szCs w:val="17"/>
        </w:rPr>
        <w:t xml:space="preserve"> </w:t>
      </w:r>
      <w:r w:rsidR="002B68CE">
        <w:rPr>
          <w:szCs w:val="17"/>
        </w:rPr>
        <w:t>FIU-NL</w:t>
      </w:r>
      <w:r>
        <w:rPr>
          <w:szCs w:val="17"/>
        </w:rPr>
        <w:t xml:space="preserve"> </w:t>
      </w:r>
      <w:r w:rsidR="002B6349">
        <w:rPr>
          <w:szCs w:val="17"/>
        </w:rPr>
        <w:t>zodra</w:t>
      </w:r>
      <w:r>
        <w:rPr>
          <w:szCs w:val="17"/>
        </w:rPr>
        <w:t xml:space="preserve"> het ongebruikelijke karakter van de transactie bekend is geworden.</w:t>
      </w:r>
      <w:r>
        <w:rPr>
          <w:rStyle w:val="Voetnootmarkering"/>
          <w:szCs w:val="17"/>
        </w:rPr>
        <w:footnoteReference w:id="10"/>
      </w:r>
      <w:r w:rsidR="008B31EB">
        <w:rPr>
          <w:szCs w:val="17"/>
        </w:rPr>
        <w:t xml:space="preserve"> </w:t>
      </w:r>
      <w:r w:rsidR="00B81904">
        <w:rPr>
          <w:szCs w:val="17"/>
        </w:rPr>
        <w:t>U</w:t>
      </w:r>
      <w:r w:rsidR="00506D59">
        <w:rPr>
          <w:szCs w:val="17"/>
        </w:rPr>
        <w:t xml:space="preserve"> dient dan ook specifieke procedures en werkprocessen te hebben opgesteld om transactiealerts te beoordelen, af te handelen en ongebruikelijke transacties te melden.</w:t>
      </w:r>
      <w:r w:rsidR="00506D59">
        <w:rPr>
          <w:rStyle w:val="Voetnootmarkering"/>
          <w:szCs w:val="17"/>
        </w:rPr>
        <w:footnoteReference w:id="11"/>
      </w:r>
      <w:r w:rsidR="005E3F04">
        <w:rPr>
          <w:szCs w:val="17"/>
        </w:rPr>
        <w:t xml:space="preserve"> </w:t>
      </w:r>
      <w:r w:rsidR="00DF60E8">
        <w:rPr>
          <w:szCs w:val="17"/>
        </w:rPr>
        <w:t xml:space="preserve">Ter waarborging van deze procedures en maatregelen dient een </w:t>
      </w:r>
      <w:r w:rsidR="00B81904">
        <w:rPr>
          <w:szCs w:val="17"/>
        </w:rPr>
        <w:t>betaaldienstverlener</w:t>
      </w:r>
      <w:r w:rsidR="00DF60E8">
        <w:rPr>
          <w:szCs w:val="17"/>
        </w:rPr>
        <w:t xml:space="preserve"> er zorg voor te dragen dat haar werknemers, voor zover relevant voor de uitoefening van hun taken, bekend zijn met de Wwft en periodiek training krijgen. Dit moet hen in staat stellen </w:t>
      </w:r>
      <w:r w:rsidR="00CE6D6D">
        <w:rPr>
          <w:szCs w:val="17"/>
        </w:rPr>
        <w:t xml:space="preserve">het </w:t>
      </w:r>
      <w:r w:rsidR="00DF60E8">
        <w:rPr>
          <w:szCs w:val="17"/>
        </w:rPr>
        <w:t>cliëntenonderzoek goed en volledig uit te voeren en ongebruikelijke transacties te herkennen.</w:t>
      </w:r>
      <w:r w:rsidR="00DF60E8">
        <w:rPr>
          <w:rStyle w:val="Voetnootmarkering"/>
          <w:szCs w:val="17"/>
        </w:rPr>
        <w:footnoteReference w:id="12"/>
      </w:r>
    </w:p>
    <w:p w:rsidR="00124BE2" w:rsidRDefault="00124BE2" w:rsidP="0091459E">
      <w:pPr>
        <w:rPr>
          <w:szCs w:val="17"/>
        </w:rPr>
      </w:pPr>
    </w:p>
    <w:p w:rsidR="00B74B8E" w:rsidRDefault="00124BE2" w:rsidP="00B74B8E">
      <w:r>
        <w:rPr>
          <w:szCs w:val="17"/>
        </w:rPr>
        <w:t>DNB heeft in 2016 onderzoek uitgevoerd naar het transactiemonitoringsproces</w:t>
      </w:r>
      <w:r w:rsidR="00F95CFE">
        <w:rPr>
          <w:szCs w:val="17"/>
        </w:rPr>
        <w:t xml:space="preserve"> bij </w:t>
      </w:r>
      <w:r w:rsidR="003E2714">
        <w:rPr>
          <w:szCs w:val="17"/>
        </w:rPr>
        <w:t>betaaldienstverleners</w:t>
      </w:r>
      <w:r>
        <w:rPr>
          <w:szCs w:val="17"/>
        </w:rPr>
        <w:t xml:space="preserve">. </w:t>
      </w:r>
      <w:r w:rsidRPr="00C00ADD">
        <w:rPr>
          <w:szCs w:val="17"/>
        </w:rPr>
        <w:t xml:space="preserve">De uitkomsten van het onderzoek laten zien dat </w:t>
      </w:r>
      <w:r w:rsidR="00944AFE">
        <w:rPr>
          <w:szCs w:val="17"/>
        </w:rPr>
        <w:t xml:space="preserve">veel van </w:t>
      </w:r>
      <w:r w:rsidR="009A38BC">
        <w:rPr>
          <w:szCs w:val="17"/>
        </w:rPr>
        <w:t xml:space="preserve">de onderzochte </w:t>
      </w:r>
      <w:r w:rsidR="003E2714">
        <w:rPr>
          <w:szCs w:val="17"/>
        </w:rPr>
        <w:t>betaaldienstverleners</w:t>
      </w:r>
      <w:r w:rsidRPr="00C00ADD">
        <w:rPr>
          <w:szCs w:val="17"/>
        </w:rPr>
        <w:t xml:space="preserve"> op een aantal belangrijke onderdelen </w:t>
      </w:r>
      <w:r w:rsidR="00D20600">
        <w:rPr>
          <w:szCs w:val="17"/>
        </w:rPr>
        <w:t>di</w:t>
      </w:r>
      <w:r>
        <w:rPr>
          <w:szCs w:val="17"/>
        </w:rPr>
        <w:t>t proces</w:t>
      </w:r>
      <w:r w:rsidR="00C57403" w:rsidRPr="00C57403">
        <w:rPr>
          <w:szCs w:val="17"/>
        </w:rPr>
        <w:t xml:space="preserve"> </w:t>
      </w:r>
      <w:r w:rsidR="00C57403" w:rsidRPr="00C00ADD">
        <w:rPr>
          <w:szCs w:val="17"/>
        </w:rPr>
        <w:t xml:space="preserve">nog </w:t>
      </w:r>
      <w:r w:rsidR="00C57403">
        <w:rPr>
          <w:szCs w:val="17"/>
        </w:rPr>
        <w:t>niet op orde hebben</w:t>
      </w:r>
      <w:r w:rsidR="0075771F">
        <w:rPr>
          <w:szCs w:val="17"/>
        </w:rPr>
        <w:t xml:space="preserve">. </w:t>
      </w:r>
      <w:r w:rsidRPr="00C00ADD">
        <w:rPr>
          <w:szCs w:val="17"/>
        </w:rPr>
        <w:t xml:space="preserve">In dit document </w:t>
      </w:r>
      <w:r w:rsidR="00C57403">
        <w:rPr>
          <w:szCs w:val="17"/>
        </w:rPr>
        <w:t xml:space="preserve">wordt uiteengezet aan welke wettelijke vereisten </w:t>
      </w:r>
      <w:r w:rsidR="00C5653C">
        <w:rPr>
          <w:szCs w:val="17"/>
        </w:rPr>
        <w:t>betaaldienstverleners</w:t>
      </w:r>
      <w:r w:rsidR="00C57403">
        <w:rPr>
          <w:szCs w:val="17"/>
        </w:rPr>
        <w:t xml:space="preserve"> dienen te voldoen en hoe DNB de invulling van deze norm, conform internationale standaarden en </w:t>
      </w:r>
      <w:r w:rsidR="00CE6D6D">
        <w:rPr>
          <w:szCs w:val="17"/>
        </w:rPr>
        <w:t xml:space="preserve">good </w:t>
      </w:r>
      <w:r w:rsidR="00C57403">
        <w:rPr>
          <w:szCs w:val="17"/>
        </w:rPr>
        <w:t xml:space="preserve">practices, voor ogen heeft. Wij illustreren dit aan de hand van onze onderzoeksuitkomsten, waarbij wij zowel </w:t>
      </w:r>
      <w:r w:rsidR="00A22ECD">
        <w:rPr>
          <w:szCs w:val="17"/>
        </w:rPr>
        <w:t xml:space="preserve">good </w:t>
      </w:r>
      <w:r w:rsidR="00C57403">
        <w:rPr>
          <w:szCs w:val="17"/>
        </w:rPr>
        <w:t xml:space="preserve">practices </w:t>
      </w:r>
      <w:r w:rsidR="00521B3B">
        <w:rPr>
          <w:szCs w:val="17"/>
        </w:rPr>
        <w:t>geven als voorbeelden waarbij de norm volgens DNB onjuist is ingevuld.</w:t>
      </w:r>
      <w:r w:rsidR="00DF1758">
        <w:rPr>
          <w:szCs w:val="17"/>
        </w:rPr>
        <w:t xml:space="preserve"> </w:t>
      </w:r>
    </w:p>
    <w:p w:rsidR="00124BE2" w:rsidRDefault="00124BE2" w:rsidP="00124BE2">
      <w:pPr>
        <w:rPr>
          <w:szCs w:val="17"/>
        </w:rPr>
      </w:pPr>
    </w:p>
    <w:p w:rsidR="003C4BD9" w:rsidRPr="00C00ADD" w:rsidRDefault="003C4BD9" w:rsidP="00124BE2">
      <w:pPr>
        <w:rPr>
          <w:szCs w:val="17"/>
        </w:rPr>
      </w:pPr>
      <w:r>
        <w:rPr>
          <w:szCs w:val="17"/>
        </w:rPr>
        <w:t xml:space="preserve">Dit document is als volgt opgebouwd. In hoofdstuk 2 geven wij </w:t>
      </w:r>
      <w:r w:rsidR="005715F3">
        <w:rPr>
          <w:szCs w:val="17"/>
        </w:rPr>
        <w:t xml:space="preserve">een </w:t>
      </w:r>
      <w:r w:rsidR="00816863">
        <w:rPr>
          <w:szCs w:val="17"/>
        </w:rPr>
        <w:t>schematische weergave van hoe een</w:t>
      </w:r>
      <w:r>
        <w:rPr>
          <w:szCs w:val="17"/>
        </w:rPr>
        <w:t xml:space="preserve"> transactiemonitoringsproces </w:t>
      </w:r>
      <w:r w:rsidR="00816863">
        <w:rPr>
          <w:szCs w:val="17"/>
        </w:rPr>
        <w:t xml:space="preserve">eruit kan zien. Ook kunt u daar </w:t>
      </w:r>
      <w:r>
        <w:rPr>
          <w:szCs w:val="17"/>
        </w:rPr>
        <w:t>het door DNB bij het onderzoek gehanteerde volwassenheidsmodel</w:t>
      </w:r>
      <w:r w:rsidR="00816863">
        <w:rPr>
          <w:szCs w:val="17"/>
        </w:rPr>
        <w:t xml:space="preserve"> vinden</w:t>
      </w:r>
      <w:r>
        <w:rPr>
          <w:szCs w:val="17"/>
        </w:rPr>
        <w:t xml:space="preserve">. In hoofdstuk 3 </w:t>
      </w:r>
      <w:r w:rsidR="003E0DDD">
        <w:rPr>
          <w:szCs w:val="17"/>
        </w:rPr>
        <w:t>leest u</w:t>
      </w:r>
      <w:r w:rsidR="005715F3">
        <w:rPr>
          <w:szCs w:val="17"/>
        </w:rPr>
        <w:t xml:space="preserve"> onze </w:t>
      </w:r>
      <w:r w:rsidR="002245DB">
        <w:rPr>
          <w:szCs w:val="17"/>
        </w:rPr>
        <w:t>belangrijkste bevindingen</w:t>
      </w:r>
      <w:r w:rsidR="00DC5300">
        <w:rPr>
          <w:szCs w:val="17"/>
        </w:rPr>
        <w:t xml:space="preserve">, </w:t>
      </w:r>
      <w:r w:rsidR="00A22ECD">
        <w:rPr>
          <w:szCs w:val="17"/>
        </w:rPr>
        <w:t xml:space="preserve">good </w:t>
      </w:r>
      <w:r w:rsidR="00DC5300">
        <w:rPr>
          <w:szCs w:val="17"/>
        </w:rPr>
        <w:t>practices en voorbeelden hoe het niet moet</w:t>
      </w:r>
      <w:r w:rsidR="00672CA6">
        <w:rPr>
          <w:szCs w:val="17"/>
        </w:rPr>
        <w:t>.</w:t>
      </w:r>
    </w:p>
    <w:p w:rsidR="00580270" w:rsidRDefault="00580270" w:rsidP="00580270"/>
    <w:p w:rsidR="007B3958" w:rsidRDefault="007B3958" w:rsidP="00580270"/>
    <w:p w:rsidR="007B3958" w:rsidRDefault="007B3958" w:rsidP="00580270"/>
    <w:p w:rsidR="007B3958" w:rsidRDefault="007B3958" w:rsidP="00580270"/>
    <w:p w:rsidR="007B3958" w:rsidRDefault="007B3958" w:rsidP="00580270"/>
    <w:p w:rsidR="007B3958" w:rsidRDefault="007B3958" w:rsidP="00580270"/>
    <w:p w:rsidR="007B3958" w:rsidRDefault="007B3958" w:rsidP="00580270"/>
    <w:p w:rsidR="007B3958" w:rsidRDefault="007B3958" w:rsidP="00580270"/>
    <w:p w:rsidR="007B3958" w:rsidRDefault="007B3958" w:rsidP="00580270"/>
    <w:p w:rsidR="007B3958" w:rsidRDefault="007B3958" w:rsidP="00580270"/>
    <w:p w:rsidR="007B3958" w:rsidRDefault="007B3958" w:rsidP="00580270"/>
    <w:p w:rsidR="0038161D" w:rsidRDefault="0038161D" w:rsidP="00580270"/>
    <w:p w:rsidR="00A43539" w:rsidRPr="00C00ADD" w:rsidRDefault="0091459E" w:rsidP="002068E7">
      <w:pPr>
        <w:pStyle w:val="Kop1"/>
      </w:pPr>
      <w:bookmarkStart w:id="7" w:name="_Toc483922729"/>
      <w:r w:rsidRPr="00C00ADD">
        <w:lastRenderedPageBreak/>
        <w:t>Transactiemonitoring</w:t>
      </w:r>
      <w:bookmarkEnd w:id="7"/>
    </w:p>
    <w:p w:rsidR="003C4BD9" w:rsidRDefault="005715F3" w:rsidP="003C4BD9">
      <w:pPr>
        <w:pStyle w:val="Kop2"/>
      </w:pPr>
      <w:bookmarkStart w:id="8" w:name="_Toc479794857"/>
      <w:bookmarkStart w:id="9" w:name="_Toc479794926"/>
      <w:bookmarkStart w:id="10" w:name="_Toc483922730"/>
      <w:bookmarkEnd w:id="8"/>
      <w:bookmarkEnd w:id="9"/>
      <w:r>
        <w:t>Het transactiemonitoringsp</w:t>
      </w:r>
      <w:r w:rsidR="003C4BD9">
        <w:t>roces</w:t>
      </w:r>
      <w:bookmarkEnd w:id="10"/>
    </w:p>
    <w:p w:rsidR="003C4BD9" w:rsidRDefault="003C4BD9" w:rsidP="00177299">
      <w:pPr>
        <w:rPr>
          <w:rFonts w:cs="Arial"/>
          <w:szCs w:val="17"/>
        </w:rPr>
      </w:pPr>
    </w:p>
    <w:p w:rsidR="005715F3" w:rsidRDefault="005715F3" w:rsidP="00177299">
      <w:pPr>
        <w:rPr>
          <w:rFonts w:cs="Arial"/>
          <w:szCs w:val="17"/>
        </w:rPr>
      </w:pPr>
      <w:r>
        <w:rPr>
          <w:rFonts w:cs="Arial"/>
          <w:szCs w:val="17"/>
        </w:rPr>
        <w:t xml:space="preserve">Het transactiemonitoringproces kan </w:t>
      </w:r>
      <w:r w:rsidR="00456C3D">
        <w:rPr>
          <w:rFonts w:cs="Arial"/>
          <w:szCs w:val="17"/>
        </w:rPr>
        <w:t>er als volgt uitzien</w:t>
      </w:r>
      <w:r>
        <w:rPr>
          <w:rFonts w:cs="Arial"/>
          <w:szCs w:val="17"/>
        </w:rPr>
        <w:t xml:space="preserve">: </w:t>
      </w:r>
    </w:p>
    <w:p w:rsidR="005715F3" w:rsidRDefault="005715F3" w:rsidP="00177299">
      <w:pPr>
        <w:rPr>
          <w:rFonts w:cs="Arial"/>
          <w:szCs w:val="17"/>
        </w:rPr>
      </w:pPr>
    </w:p>
    <w:p w:rsidR="005715F3" w:rsidRDefault="00CB4859" w:rsidP="00177299">
      <w:pPr>
        <w:rPr>
          <w:rFonts w:cs="Arial"/>
          <w:szCs w:val="17"/>
        </w:rPr>
      </w:pPr>
      <w:r w:rsidRPr="00CB4859">
        <w:rPr>
          <w:rFonts w:cs="Arial"/>
          <w:noProof/>
          <w:szCs w:val="17"/>
          <w:lang w:eastAsia="nl-NL"/>
        </w:rPr>
        <w:drawing>
          <wp:inline distT="0" distB="0" distL="0" distR="0" wp14:anchorId="755D579C" wp14:editId="18F6DF41">
            <wp:extent cx="5697704" cy="2556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7704" cy="2556091"/>
                    </a:xfrm>
                    <a:prstGeom prst="rect">
                      <a:avLst/>
                    </a:prstGeom>
                  </pic:spPr>
                </pic:pic>
              </a:graphicData>
            </a:graphic>
          </wp:inline>
        </w:drawing>
      </w:r>
    </w:p>
    <w:p w:rsidR="005715F3" w:rsidRDefault="005715F3" w:rsidP="00177299">
      <w:pPr>
        <w:rPr>
          <w:rFonts w:cs="Arial"/>
          <w:szCs w:val="17"/>
        </w:rPr>
      </w:pPr>
    </w:p>
    <w:p w:rsidR="00A43839" w:rsidRDefault="008B6F0E" w:rsidP="00331E32">
      <w:pPr>
        <w:rPr>
          <w:rFonts w:cs="Arial"/>
          <w:szCs w:val="17"/>
        </w:rPr>
      </w:pPr>
      <w:r>
        <w:rPr>
          <w:rFonts w:cs="Arial"/>
          <w:szCs w:val="17"/>
        </w:rPr>
        <w:t>Transactiemonitoring kan op verschillende manieren</w:t>
      </w:r>
      <w:r w:rsidR="00A0617B">
        <w:rPr>
          <w:rFonts w:cs="Arial"/>
          <w:szCs w:val="17"/>
        </w:rPr>
        <w:t xml:space="preserve"> worden uitgevoerd</w:t>
      </w:r>
      <w:r>
        <w:rPr>
          <w:rFonts w:cs="Arial"/>
          <w:szCs w:val="17"/>
        </w:rPr>
        <w:t>. Zoals uit het schema blijkt</w:t>
      </w:r>
      <w:r w:rsidR="00596465">
        <w:rPr>
          <w:rFonts w:cs="Arial"/>
          <w:szCs w:val="17"/>
        </w:rPr>
        <w:t>,</w:t>
      </w:r>
      <w:r>
        <w:rPr>
          <w:rFonts w:cs="Arial"/>
          <w:szCs w:val="17"/>
        </w:rPr>
        <w:t xml:space="preserve"> kan</w:t>
      </w:r>
      <w:r w:rsidR="006B08F3">
        <w:rPr>
          <w:rFonts w:cs="Arial"/>
          <w:szCs w:val="17"/>
        </w:rPr>
        <w:t xml:space="preserve"> sprake zijn van pre-transactie</w:t>
      </w:r>
      <w:r>
        <w:rPr>
          <w:rFonts w:cs="Arial"/>
          <w:szCs w:val="17"/>
        </w:rPr>
        <w:t>monitoring en post</w:t>
      </w:r>
      <w:r w:rsidR="007336B7">
        <w:rPr>
          <w:rFonts w:cs="Arial"/>
          <w:szCs w:val="17"/>
        </w:rPr>
        <w:t>-event</w:t>
      </w:r>
      <w:r>
        <w:rPr>
          <w:rFonts w:cs="Arial"/>
          <w:szCs w:val="17"/>
        </w:rPr>
        <w:t xml:space="preserve"> transacti</w:t>
      </w:r>
      <w:r w:rsidR="006B08F3">
        <w:rPr>
          <w:rFonts w:cs="Arial"/>
          <w:szCs w:val="17"/>
        </w:rPr>
        <w:t>e</w:t>
      </w:r>
      <w:r>
        <w:rPr>
          <w:rFonts w:cs="Arial"/>
          <w:szCs w:val="17"/>
        </w:rPr>
        <w:t>monitoring</w:t>
      </w:r>
      <w:r w:rsidR="00596465">
        <w:rPr>
          <w:rFonts w:cs="Arial"/>
          <w:szCs w:val="17"/>
        </w:rPr>
        <w:t>, en liefst van beide</w:t>
      </w:r>
      <w:r w:rsidR="0080447A">
        <w:rPr>
          <w:rFonts w:cs="Arial"/>
          <w:szCs w:val="17"/>
        </w:rPr>
        <w:t>, dat wil zeggen dat zowel vooraf als achteraf transacties worden gemonitord</w:t>
      </w:r>
      <w:r>
        <w:rPr>
          <w:rFonts w:cs="Arial"/>
          <w:szCs w:val="17"/>
        </w:rPr>
        <w:t xml:space="preserve">. </w:t>
      </w:r>
    </w:p>
    <w:p w:rsidR="00A43839" w:rsidRDefault="00A43839" w:rsidP="00331E32">
      <w:pPr>
        <w:rPr>
          <w:rFonts w:cs="Arial"/>
          <w:szCs w:val="17"/>
        </w:rPr>
      </w:pPr>
    </w:p>
    <w:p w:rsidR="00A43839" w:rsidRPr="00C022A0" w:rsidRDefault="00A43839" w:rsidP="00331E32">
      <w:pPr>
        <w:rPr>
          <w:rFonts w:cs="Arial"/>
          <w:i/>
          <w:szCs w:val="17"/>
        </w:rPr>
      </w:pPr>
      <w:r w:rsidRPr="00C022A0">
        <w:rPr>
          <w:rFonts w:cs="Arial"/>
          <w:i/>
          <w:szCs w:val="17"/>
        </w:rPr>
        <w:t>Pre-transactiemonitoring</w:t>
      </w:r>
    </w:p>
    <w:p w:rsidR="00331E32" w:rsidRDefault="008B6F0E" w:rsidP="00331E32">
      <w:pPr>
        <w:rPr>
          <w:rFonts w:cs="Arial"/>
          <w:szCs w:val="17"/>
        </w:rPr>
      </w:pPr>
      <w:r w:rsidRPr="00C022A0">
        <w:rPr>
          <w:rFonts w:cs="Arial"/>
          <w:szCs w:val="17"/>
        </w:rPr>
        <w:t>Pre-transactiemonitoring vindt plaats voordat de transactie is uitgevoerd</w:t>
      </w:r>
      <w:r w:rsidR="000674D2" w:rsidRPr="00C022A0">
        <w:rPr>
          <w:rFonts w:cs="Arial"/>
          <w:szCs w:val="17"/>
        </w:rPr>
        <w:t>.</w:t>
      </w:r>
      <w:r w:rsidR="008741F4" w:rsidRPr="00C022A0">
        <w:rPr>
          <w:rFonts w:cs="Arial"/>
          <w:szCs w:val="17"/>
        </w:rPr>
        <w:t xml:space="preserve"> Pre-transactiemonitoring zal in uw sector met name gebruikt worden om (creditcard)fraude te detecteren. In andere sectoren zal pre-transactiemonitoring gebruikt worden wanneer contanten worden gewisseld, verstuurd of op rekening worden gestort. </w:t>
      </w:r>
      <w:r w:rsidRPr="00C022A0">
        <w:rPr>
          <w:rFonts w:cs="Arial"/>
          <w:szCs w:val="17"/>
        </w:rPr>
        <w:t>Bij post</w:t>
      </w:r>
      <w:r w:rsidR="007336B7" w:rsidRPr="00C022A0">
        <w:rPr>
          <w:rFonts w:cs="Arial"/>
          <w:szCs w:val="17"/>
        </w:rPr>
        <w:t>-event</w:t>
      </w:r>
      <w:r w:rsidRPr="00C022A0">
        <w:rPr>
          <w:rFonts w:cs="Arial"/>
          <w:szCs w:val="17"/>
        </w:rPr>
        <w:t xml:space="preserve"> transactiemonitoring is de transactie reeds door de </w:t>
      </w:r>
      <w:r w:rsidR="008741F4" w:rsidRPr="00C022A0">
        <w:rPr>
          <w:rFonts w:cs="Arial"/>
          <w:szCs w:val="17"/>
        </w:rPr>
        <w:t>betaaldienstverlener</w:t>
      </w:r>
      <w:r w:rsidRPr="00C022A0">
        <w:rPr>
          <w:rFonts w:cs="Arial"/>
          <w:szCs w:val="17"/>
        </w:rPr>
        <w:t xml:space="preserve"> uitgevoerd</w:t>
      </w:r>
      <w:r w:rsidR="007C2664" w:rsidRPr="00C022A0">
        <w:rPr>
          <w:rFonts w:cs="Arial"/>
          <w:szCs w:val="17"/>
        </w:rPr>
        <w:t xml:space="preserve"> en vindt de </w:t>
      </w:r>
      <w:r w:rsidRPr="00C022A0">
        <w:rPr>
          <w:rFonts w:cs="Arial"/>
          <w:szCs w:val="17"/>
        </w:rPr>
        <w:t xml:space="preserve">transactiemonitoring achteraf plaats. </w:t>
      </w:r>
    </w:p>
    <w:p w:rsidR="00A43839" w:rsidRDefault="00A43839" w:rsidP="00331E32">
      <w:pPr>
        <w:rPr>
          <w:rFonts w:cs="Arial"/>
          <w:szCs w:val="17"/>
        </w:rPr>
      </w:pPr>
    </w:p>
    <w:p w:rsidR="00A43839" w:rsidRPr="00A43839" w:rsidRDefault="00A43839" w:rsidP="00331E32">
      <w:pPr>
        <w:rPr>
          <w:rFonts w:cs="Arial"/>
          <w:i/>
          <w:szCs w:val="17"/>
        </w:rPr>
      </w:pPr>
      <w:r>
        <w:rPr>
          <w:rFonts w:cs="Arial"/>
          <w:i/>
          <w:szCs w:val="17"/>
        </w:rPr>
        <w:t>Post-event transactiemonitoring</w:t>
      </w:r>
    </w:p>
    <w:p w:rsidR="00CA72E8" w:rsidRPr="00523093" w:rsidRDefault="008B6F0E" w:rsidP="00177299">
      <w:pPr>
        <w:rPr>
          <w:rFonts w:cs="Arial"/>
          <w:szCs w:val="17"/>
        </w:rPr>
      </w:pPr>
      <w:r w:rsidRPr="00C022A0">
        <w:rPr>
          <w:rFonts w:cs="Arial"/>
          <w:szCs w:val="17"/>
        </w:rPr>
        <w:t xml:space="preserve">Ons themaonderzoek had </w:t>
      </w:r>
      <w:r w:rsidR="00F653BF" w:rsidRPr="00C022A0">
        <w:rPr>
          <w:rFonts w:cs="Arial"/>
          <w:szCs w:val="17"/>
        </w:rPr>
        <w:t xml:space="preserve">specifiek </w:t>
      </w:r>
      <w:r w:rsidRPr="00C022A0">
        <w:rPr>
          <w:rFonts w:cs="Arial"/>
          <w:szCs w:val="17"/>
        </w:rPr>
        <w:t>betrekking op het post</w:t>
      </w:r>
      <w:r w:rsidR="00CE6D6D" w:rsidRPr="00C022A0">
        <w:rPr>
          <w:rFonts w:cs="Arial"/>
          <w:szCs w:val="17"/>
        </w:rPr>
        <w:t>-event</w:t>
      </w:r>
      <w:r w:rsidRPr="00C022A0">
        <w:rPr>
          <w:rFonts w:cs="Arial"/>
          <w:szCs w:val="17"/>
        </w:rPr>
        <w:t xml:space="preserve"> transactiemonitoringproces</w:t>
      </w:r>
      <w:r w:rsidR="00523093" w:rsidRPr="00C022A0">
        <w:rPr>
          <w:rFonts w:cs="Arial"/>
          <w:szCs w:val="17"/>
        </w:rPr>
        <w:t xml:space="preserve">. </w:t>
      </w:r>
      <w:r w:rsidR="0032271C" w:rsidRPr="00C022A0">
        <w:rPr>
          <w:rFonts w:cs="Arial"/>
          <w:szCs w:val="17"/>
        </w:rPr>
        <w:t xml:space="preserve">Het transactiemonitoringproces </w:t>
      </w:r>
      <w:r w:rsidR="0021634F" w:rsidRPr="00C022A0">
        <w:rPr>
          <w:rFonts w:cs="Arial"/>
          <w:szCs w:val="17"/>
        </w:rPr>
        <w:t>is onderdeel</w:t>
      </w:r>
      <w:r w:rsidR="0032271C" w:rsidRPr="00C022A0">
        <w:rPr>
          <w:rFonts w:cs="Arial"/>
          <w:szCs w:val="17"/>
        </w:rPr>
        <w:t xml:space="preserve"> van</w:t>
      </w:r>
      <w:r w:rsidR="0021634F" w:rsidRPr="00C022A0">
        <w:rPr>
          <w:rFonts w:cs="Arial"/>
          <w:szCs w:val="17"/>
        </w:rPr>
        <w:t xml:space="preserve"> het</w:t>
      </w:r>
      <w:r w:rsidR="0032271C" w:rsidRPr="00C022A0">
        <w:rPr>
          <w:rFonts w:cs="Arial"/>
          <w:szCs w:val="17"/>
        </w:rPr>
        <w:t xml:space="preserve"> cliëntenonderzoek.</w:t>
      </w:r>
      <w:r w:rsidR="001577C0" w:rsidRPr="00C022A0">
        <w:rPr>
          <w:rFonts w:cs="Arial"/>
          <w:szCs w:val="17"/>
        </w:rPr>
        <w:t xml:space="preserve"> Cliënten zullen in uw sector op dit moment veelal merchants betreffen. Met PSD2 </w:t>
      </w:r>
      <w:r w:rsidR="00AB577C" w:rsidRPr="00C022A0">
        <w:rPr>
          <w:rFonts w:cs="Arial"/>
          <w:szCs w:val="17"/>
        </w:rPr>
        <w:t xml:space="preserve">worden </w:t>
      </w:r>
      <w:r w:rsidR="001577C0" w:rsidRPr="00C022A0">
        <w:rPr>
          <w:rFonts w:cs="Arial"/>
          <w:szCs w:val="17"/>
        </w:rPr>
        <w:t xml:space="preserve">nieuwe diensten </w:t>
      </w:r>
      <w:r w:rsidR="00AB577C" w:rsidRPr="00C022A0">
        <w:rPr>
          <w:rFonts w:cs="Arial"/>
          <w:szCs w:val="17"/>
        </w:rPr>
        <w:t xml:space="preserve">geïntroduceerd, de </w:t>
      </w:r>
      <w:r w:rsidR="001577C0" w:rsidRPr="00C022A0">
        <w:rPr>
          <w:rFonts w:cs="Arial"/>
          <w:szCs w:val="17"/>
        </w:rPr>
        <w:t xml:space="preserve">cliënten </w:t>
      </w:r>
      <w:r w:rsidR="00AB577C" w:rsidRPr="00C022A0">
        <w:rPr>
          <w:rFonts w:cs="Arial"/>
          <w:szCs w:val="17"/>
        </w:rPr>
        <w:t xml:space="preserve">daarvan zullen </w:t>
      </w:r>
      <w:r w:rsidR="00327E1D" w:rsidRPr="00C022A0">
        <w:rPr>
          <w:rFonts w:cs="Arial"/>
          <w:szCs w:val="17"/>
        </w:rPr>
        <w:t>vaak</w:t>
      </w:r>
      <w:r w:rsidR="001577C0" w:rsidRPr="00C022A0">
        <w:rPr>
          <w:rFonts w:cs="Arial"/>
          <w:szCs w:val="17"/>
        </w:rPr>
        <w:t xml:space="preserve"> ook natuurlijke personen </w:t>
      </w:r>
      <w:r w:rsidR="00AB577C" w:rsidRPr="00C022A0">
        <w:rPr>
          <w:rFonts w:cs="Arial"/>
          <w:szCs w:val="17"/>
        </w:rPr>
        <w:t>zijn</w:t>
      </w:r>
      <w:r w:rsidR="001577C0" w:rsidRPr="00C022A0">
        <w:rPr>
          <w:rFonts w:cs="Arial"/>
          <w:szCs w:val="17"/>
        </w:rPr>
        <w:t>.</w:t>
      </w:r>
      <w:r w:rsidR="0032271C" w:rsidRPr="00C022A0">
        <w:rPr>
          <w:rFonts w:cs="Arial"/>
          <w:szCs w:val="17"/>
        </w:rPr>
        <w:t xml:space="preserve"> </w:t>
      </w:r>
      <w:r w:rsidR="000008D3" w:rsidRPr="00C022A0">
        <w:rPr>
          <w:rFonts w:cs="Arial"/>
          <w:szCs w:val="17"/>
        </w:rPr>
        <w:t xml:space="preserve">Door het </w:t>
      </w:r>
      <w:r w:rsidR="0085503B" w:rsidRPr="00C022A0">
        <w:rPr>
          <w:rFonts w:cs="Arial"/>
          <w:szCs w:val="17"/>
        </w:rPr>
        <w:t>cliënten</w:t>
      </w:r>
      <w:r w:rsidR="000008D3" w:rsidRPr="00C022A0">
        <w:rPr>
          <w:rFonts w:cs="Arial"/>
          <w:szCs w:val="17"/>
        </w:rPr>
        <w:t xml:space="preserve">onderzoek verkrijgt </w:t>
      </w:r>
      <w:r w:rsidR="003E0DDD" w:rsidRPr="00C022A0">
        <w:rPr>
          <w:rFonts w:cs="Arial"/>
          <w:szCs w:val="17"/>
        </w:rPr>
        <w:t>u</w:t>
      </w:r>
      <w:r w:rsidR="008741F4" w:rsidRPr="00C022A0">
        <w:rPr>
          <w:rFonts w:cs="Arial"/>
          <w:szCs w:val="17"/>
        </w:rPr>
        <w:t>w instelling</w:t>
      </w:r>
      <w:r w:rsidR="000008D3" w:rsidRPr="00C022A0">
        <w:rPr>
          <w:rFonts w:cs="Arial"/>
          <w:szCs w:val="17"/>
        </w:rPr>
        <w:t xml:space="preserve"> </w:t>
      </w:r>
      <w:r w:rsidR="00357843" w:rsidRPr="00C022A0">
        <w:rPr>
          <w:rFonts w:cs="Arial"/>
          <w:szCs w:val="17"/>
        </w:rPr>
        <w:t xml:space="preserve">doorlopend </w:t>
      </w:r>
      <w:r w:rsidR="0021634F" w:rsidRPr="00C022A0">
        <w:rPr>
          <w:rFonts w:cs="Arial"/>
          <w:szCs w:val="17"/>
        </w:rPr>
        <w:t>kennis van de cliënt, waaronder</w:t>
      </w:r>
      <w:r w:rsidR="000008D3" w:rsidRPr="00C022A0">
        <w:rPr>
          <w:rFonts w:cs="Arial"/>
          <w:szCs w:val="17"/>
        </w:rPr>
        <w:t xml:space="preserve"> </w:t>
      </w:r>
      <w:r w:rsidR="00672CA6" w:rsidRPr="00C022A0">
        <w:rPr>
          <w:rFonts w:cs="Arial"/>
          <w:szCs w:val="17"/>
        </w:rPr>
        <w:t xml:space="preserve">het </w:t>
      </w:r>
      <w:r w:rsidR="00C00ADD" w:rsidRPr="00C022A0">
        <w:rPr>
          <w:rFonts w:cs="Arial"/>
          <w:szCs w:val="17"/>
        </w:rPr>
        <w:t xml:space="preserve">doel en </w:t>
      </w:r>
      <w:r w:rsidR="005A4D43" w:rsidRPr="00C022A0">
        <w:rPr>
          <w:rFonts w:cs="Arial"/>
          <w:szCs w:val="17"/>
        </w:rPr>
        <w:t>de</w:t>
      </w:r>
      <w:r w:rsidR="00A22ECD" w:rsidRPr="00C022A0">
        <w:rPr>
          <w:rFonts w:cs="Arial"/>
          <w:szCs w:val="17"/>
        </w:rPr>
        <w:t xml:space="preserve"> beoogde</w:t>
      </w:r>
      <w:r w:rsidR="005A4D43" w:rsidRPr="00C022A0">
        <w:rPr>
          <w:rFonts w:cs="Arial"/>
          <w:szCs w:val="17"/>
        </w:rPr>
        <w:t xml:space="preserve"> </w:t>
      </w:r>
      <w:r w:rsidR="000008D3" w:rsidRPr="00C022A0">
        <w:rPr>
          <w:rFonts w:cs="Arial"/>
          <w:szCs w:val="17"/>
        </w:rPr>
        <w:t xml:space="preserve">aard van de </w:t>
      </w:r>
      <w:r w:rsidR="00C00ADD" w:rsidRPr="00C022A0">
        <w:rPr>
          <w:rFonts w:cs="Arial"/>
          <w:szCs w:val="17"/>
        </w:rPr>
        <w:t>zakelijke relatie met de cliënt</w:t>
      </w:r>
      <w:r w:rsidR="000008D3" w:rsidRPr="00C022A0">
        <w:rPr>
          <w:rFonts w:cs="Arial"/>
          <w:szCs w:val="17"/>
        </w:rPr>
        <w:t>.</w:t>
      </w:r>
      <w:r w:rsidR="000008D3" w:rsidRPr="00C00ADD">
        <w:rPr>
          <w:rFonts w:cs="Arial"/>
          <w:szCs w:val="17"/>
        </w:rPr>
        <w:t xml:space="preserve"> </w:t>
      </w:r>
      <w:r w:rsidR="009200F0" w:rsidRPr="00C00ADD">
        <w:rPr>
          <w:rFonts w:cs="Arial"/>
          <w:szCs w:val="17"/>
        </w:rPr>
        <w:t xml:space="preserve">De </w:t>
      </w:r>
      <w:r w:rsidR="00AE731D">
        <w:rPr>
          <w:rFonts w:cs="Arial"/>
          <w:szCs w:val="17"/>
        </w:rPr>
        <w:t>b</w:t>
      </w:r>
      <w:r w:rsidR="008741F4">
        <w:rPr>
          <w:rFonts w:cs="Arial"/>
          <w:szCs w:val="17"/>
        </w:rPr>
        <w:t>etaaldienstverlener</w:t>
      </w:r>
      <w:r w:rsidR="009200F0" w:rsidRPr="00C00ADD">
        <w:rPr>
          <w:rFonts w:cs="Arial"/>
          <w:szCs w:val="17"/>
        </w:rPr>
        <w:t xml:space="preserve"> </w:t>
      </w:r>
      <w:r w:rsidR="004F075E">
        <w:rPr>
          <w:rFonts w:cs="Arial"/>
          <w:szCs w:val="17"/>
        </w:rPr>
        <w:t xml:space="preserve">beoordeelt daarbij </w:t>
      </w:r>
      <w:r w:rsidR="009200F0" w:rsidRPr="00C00ADD">
        <w:rPr>
          <w:rFonts w:cs="Arial"/>
          <w:szCs w:val="17"/>
        </w:rPr>
        <w:t xml:space="preserve">systematisch of </w:t>
      </w:r>
      <w:r w:rsidR="004F075E">
        <w:rPr>
          <w:rFonts w:cs="Arial"/>
          <w:szCs w:val="17"/>
        </w:rPr>
        <w:t xml:space="preserve">er bij de </w:t>
      </w:r>
      <w:r w:rsidR="00035055" w:rsidRPr="00C00ADD">
        <w:rPr>
          <w:rFonts w:cs="Arial"/>
          <w:szCs w:val="17"/>
        </w:rPr>
        <w:t>uitgevoerde transacties</w:t>
      </w:r>
      <w:r w:rsidR="008741F4">
        <w:rPr>
          <w:rFonts w:cs="Arial"/>
          <w:szCs w:val="17"/>
        </w:rPr>
        <w:t xml:space="preserve"> van betreffende cliënt</w:t>
      </w:r>
      <w:r w:rsidR="00035055" w:rsidRPr="00C00ADD">
        <w:rPr>
          <w:rFonts w:cs="Arial"/>
          <w:szCs w:val="17"/>
        </w:rPr>
        <w:t xml:space="preserve"> </w:t>
      </w:r>
      <w:r w:rsidR="009200F0" w:rsidRPr="00C00ADD">
        <w:rPr>
          <w:rFonts w:cs="Arial"/>
          <w:szCs w:val="17"/>
        </w:rPr>
        <w:t xml:space="preserve">sprake is van ongebruikelijke </w:t>
      </w:r>
      <w:r w:rsidR="004F075E">
        <w:rPr>
          <w:rFonts w:cs="Arial"/>
          <w:szCs w:val="17"/>
        </w:rPr>
        <w:t>p</w:t>
      </w:r>
      <w:r w:rsidR="009200F0" w:rsidRPr="00C00ADD">
        <w:rPr>
          <w:rFonts w:cs="Arial"/>
          <w:szCs w:val="17"/>
        </w:rPr>
        <w:t>atronen</w:t>
      </w:r>
      <w:r w:rsidR="0021634F">
        <w:rPr>
          <w:rFonts w:cs="Arial"/>
          <w:szCs w:val="17"/>
        </w:rPr>
        <w:t xml:space="preserve"> die kunnen duiden op witwassen of terrorismefinanciering</w:t>
      </w:r>
      <w:r w:rsidR="009200F0" w:rsidRPr="00C00ADD">
        <w:rPr>
          <w:rFonts w:cs="Arial"/>
          <w:szCs w:val="17"/>
        </w:rPr>
        <w:t>.</w:t>
      </w:r>
      <w:r w:rsidR="00470F08">
        <w:rPr>
          <w:rFonts w:cs="Arial"/>
          <w:szCs w:val="17"/>
        </w:rPr>
        <w:t xml:space="preserve"> </w:t>
      </w:r>
      <w:r w:rsidR="009200F0" w:rsidRPr="00C00ADD">
        <w:t>Het monitoren van de transacties van de cliënt</w:t>
      </w:r>
      <w:r w:rsidR="0075771F">
        <w:t xml:space="preserve"> moet</w:t>
      </w:r>
      <w:r w:rsidR="009200F0" w:rsidRPr="00C00ADD">
        <w:t xml:space="preserve"> worden afgestemd op </w:t>
      </w:r>
      <w:r w:rsidR="00293D7E">
        <w:t>de cliënt zelf</w:t>
      </w:r>
      <w:r w:rsidR="005A4D43">
        <w:t>:</w:t>
      </w:r>
      <w:r w:rsidR="00293D7E">
        <w:t xml:space="preserve"> </w:t>
      </w:r>
      <w:r w:rsidR="009200F0" w:rsidRPr="00C00ADD">
        <w:t xml:space="preserve">het soort </w:t>
      </w:r>
      <w:r w:rsidR="000008D3" w:rsidRPr="00C00ADD">
        <w:t>cliënt</w:t>
      </w:r>
      <w:r w:rsidR="001577C0">
        <w:t xml:space="preserve"> (in welke </w:t>
      </w:r>
      <w:r w:rsidR="00AB577C">
        <w:t xml:space="preserve">bedrijfstak </w:t>
      </w:r>
      <w:r w:rsidR="001577C0">
        <w:t>is de cliënt actief, is er sprake van</w:t>
      </w:r>
      <w:r w:rsidR="00523093">
        <w:t xml:space="preserve"> </w:t>
      </w:r>
      <w:r w:rsidR="00523093" w:rsidRPr="00523093">
        <w:rPr>
          <w:i/>
        </w:rPr>
        <w:t>Politicaly Exposed Persons</w:t>
      </w:r>
      <w:r w:rsidR="001577C0">
        <w:t xml:space="preserve"> </w:t>
      </w:r>
      <w:r w:rsidR="00523093">
        <w:t>(</w:t>
      </w:r>
      <w:r w:rsidR="001577C0">
        <w:t>PEP’s</w:t>
      </w:r>
      <w:r w:rsidR="00523093">
        <w:t>)</w:t>
      </w:r>
      <w:r w:rsidR="001577C0">
        <w:t>)</w:t>
      </w:r>
      <w:r w:rsidR="0021634F">
        <w:t xml:space="preserve">, </w:t>
      </w:r>
      <w:r w:rsidR="005A4D43">
        <w:t xml:space="preserve">het type </w:t>
      </w:r>
      <w:r w:rsidR="0021634F">
        <w:t>dienstverlening aan de cli</w:t>
      </w:r>
      <w:r w:rsidR="00672CA6" w:rsidRPr="00C00ADD">
        <w:t>ë</w:t>
      </w:r>
      <w:r w:rsidR="0021634F">
        <w:t>nt</w:t>
      </w:r>
      <w:r w:rsidR="001577C0">
        <w:t xml:space="preserve"> (iDeal, creditcard, betaalautomaten etc.)</w:t>
      </w:r>
      <w:r w:rsidR="009200F0" w:rsidRPr="00C00ADD">
        <w:t xml:space="preserve"> en het risicoprofiel van de </w:t>
      </w:r>
      <w:r w:rsidR="000008D3" w:rsidRPr="00C00ADD">
        <w:t>cliënt</w:t>
      </w:r>
      <w:r w:rsidR="009200F0" w:rsidRPr="00C00ADD">
        <w:t xml:space="preserve">. Per </w:t>
      </w:r>
      <w:r w:rsidR="004F075E">
        <w:t xml:space="preserve">cliënt </w:t>
      </w:r>
      <w:r w:rsidR="00293D7E">
        <w:t>en per product kan</w:t>
      </w:r>
      <w:r w:rsidR="00247EB1">
        <w:t xml:space="preserve"> </w:t>
      </w:r>
      <w:r w:rsidR="00293D7E">
        <w:t>de monitoring</w:t>
      </w:r>
      <w:r w:rsidR="009200F0" w:rsidRPr="00C00ADD">
        <w:t xml:space="preserve"> verschillend </w:t>
      </w:r>
      <w:r w:rsidR="00293D7E">
        <w:t>ingericht worden</w:t>
      </w:r>
      <w:r w:rsidR="009200F0" w:rsidRPr="00C00ADD">
        <w:t xml:space="preserve">. </w:t>
      </w:r>
    </w:p>
    <w:p w:rsidR="00CA72E8" w:rsidRDefault="00CA72E8" w:rsidP="00177299"/>
    <w:p w:rsidR="007E371D" w:rsidRDefault="004844D4" w:rsidP="00B91E95">
      <w:pPr>
        <w:pStyle w:val="Lijstalinea"/>
        <w:numPr>
          <w:ilvl w:val="0"/>
          <w:numId w:val="35"/>
        </w:numPr>
      </w:pPr>
      <w:r>
        <w:t xml:space="preserve">De eerste stap in het transactiemonitoringsproces is dat </w:t>
      </w:r>
      <w:r w:rsidR="003E0DDD">
        <w:t xml:space="preserve">u als </w:t>
      </w:r>
      <w:r w:rsidR="001577C0">
        <w:t>instelling</w:t>
      </w:r>
      <w:r>
        <w:t xml:space="preserve"> systematisch </w:t>
      </w:r>
      <w:r w:rsidR="005A4D43">
        <w:t>de</w:t>
      </w:r>
      <w:r>
        <w:t xml:space="preserve"> </w:t>
      </w:r>
      <w:r w:rsidR="00A11546" w:rsidRPr="00CA72E8">
        <w:t>witwas- en terrorismefinancieringsrisico</w:t>
      </w:r>
      <w:r w:rsidR="005A4D43">
        <w:t>’</w:t>
      </w:r>
      <w:r w:rsidR="00A11546" w:rsidRPr="00CA72E8">
        <w:t xml:space="preserve">s </w:t>
      </w:r>
      <w:r w:rsidR="005A4D43">
        <w:t>analyseert die uw verschillende soorten</w:t>
      </w:r>
      <w:r w:rsidR="00A11546" w:rsidRPr="00CA72E8">
        <w:t xml:space="preserve"> cliënten, producten </w:t>
      </w:r>
      <w:r w:rsidR="005A4D43">
        <w:t>en</w:t>
      </w:r>
      <w:r w:rsidR="00A11546" w:rsidRPr="00CA72E8">
        <w:t xml:space="preserve"> transacties met zich </w:t>
      </w:r>
      <w:r w:rsidR="00596465">
        <w:t>mee</w:t>
      </w:r>
      <w:r w:rsidR="00A11546" w:rsidRPr="00CA72E8">
        <w:t>brengen</w:t>
      </w:r>
      <w:r>
        <w:t xml:space="preserve">. De uitkomsten van deze analyse </w:t>
      </w:r>
      <w:r w:rsidR="00C02982">
        <w:t xml:space="preserve">legt u vast </w:t>
      </w:r>
      <w:r>
        <w:t xml:space="preserve">in de zogenoemde SIRA en </w:t>
      </w:r>
      <w:r w:rsidR="00C02982">
        <w:t xml:space="preserve">vertaalt u </w:t>
      </w:r>
      <w:r>
        <w:t xml:space="preserve">vervolgens door </w:t>
      </w:r>
      <w:r w:rsidR="00A11546" w:rsidRPr="00CA72E8">
        <w:t xml:space="preserve">naar </w:t>
      </w:r>
      <w:r w:rsidR="00C02982">
        <w:t>uw</w:t>
      </w:r>
      <w:r w:rsidR="00A11546" w:rsidRPr="00CA72E8">
        <w:t xml:space="preserve"> beleid</w:t>
      </w:r>
      <w:r>
        <w:t>, processen</w:t>
      </w:r>
      <w:r w:rsidR="00A11546" w:rsidRPr="00CA72E8">
        <w:t xml:space="preserve"> en procedures omtrent transactiemonitoring</w:t>
      </w:r>
      <w:r>
        <w:t xml:space="preserve">. Daarbij </w:t>
      </w:r>
      <w:r w:rsidR="00C02982">
        <w:t xml:space="preserve">deelt u </w:t>
      </w:r>
      <w:r>
        <w:t xml:space="preserve">de </w:t>
      </w:r>
      <w:r w:rsidR="0032271C">
        <w:t>cliënten</w:t>
      </w:r>
      <w:r>
        <w:t xml:space="preserve"> </w:t>
      </w:r>
      <w:r w:rsidR="0021634F">
        <w:t xml:space="preserve">in risicocategorieën (bijvoorbeeld hoog, midden en laag) </w:t>
      </w:r>
      <w:r w:rsidR="005A4D43">
        <w:t>in</w:t>
      </w:r>
      <w:r w:rsidR="00596465">
        <w:t>,</w:t>
      </w:r>
      <w:r w:rsidR="005A4D43">
        <w:t xml:space="preserve"> </w:t>
      </w:r>
      <w:r w:rsidR="00A11546" w:rsidRPr="00CA72E8">
        <w:t xml:space="preserve">op grond van de witwas- en terrorismefinancieringsrisico's die de zakelijke relatie met de cliënt met zich </w:t>
      </w:r>
      <w:r w:rsidR="00596465">
        <w:t>mee</w:t>
      </w:r>
      <w:r w:rsidR="00A11546" w:rsidRPr="00CA72E8">
        <w:t>brengt</w:t>
      </w:r>
      <w:r w:rsidR="0021634F">
        <w:t>.</w:t>
      </w:r>
      <w:r w:rsidR="00A11546" w:rsidRPr="00CA72E8">
        <w:t xml:space="preserve"> </w:t>
      </w:r>
      <w:r w:rsidR="00C02982">
        <w:t>Voor h</w:t>
      </w:r>
      <w:r w:rsidR="007E371D">
        <w:rPr>
          <w:color w:val="000000" w:themeColor="text1"/>
          <w:szCs w:val="17"/>
        </w:rPr>
        <w:t xml:space="preserve">et risicoprofiel van een cliënt </w:t>
      </w:r>
      <w:r w:rsidR="00C02982">
        <w:rPr>
          <w:color w:val="000000" w:themeColor="text1"/>
          <w:szCs w:val="17"/>
        </w:rPr>
        <w:t xml:space="preserve">maakt u </w:t>
      </w:r>
      <w:r w:rsidR="007E371D">
        <w:rPr>
          <w:color w:val="000000" w:themeColor="text1"/>
          <w:szCs w:val="17"/>
        </w:rPr>
        <w:t xml:space="preserve">een transactieprofiel op basis van de </w:t>
      </w:r>
      <w:r w:rsidR="007E371D" w:rsidRPr="00405A3A">
        <w:rPr>
          <w:i/>
          <w:color w:val="000000" w:themeColor="text1"/>
          <w:szCs w:val="17"/>
        </w:rPr>
        <w:t>verwachte</w:t>
      </w:r>
      <w:r w:rsidR="007E371D">
        <w:rPr>
          <w:color w:val="000000" w:themeColor="text1"/>
          <w:szCs w:val="17"/>
        </w:rPr>
        <w:t xml:space="preserve"> transacties van een cliënt of </w:t>
      </w:r>
      <w:r w:rsidR="00C02982">
        <w:rPr>
          <w:color w:val="000000" w:themeColor="text1"/>
          <w:szCs w:val="17"/>
        </w:rPr>
        <w:t xml:space="preserve">het </w:t>
      </w:r>
      <w:r w:rsidR="007E371D">
        <w:rPr>
          <w:color w:val="000000" w:themeColor="text1"/>
          <w:szCs w:val="17"/>
        </w:rPr>
        <w:t>verwacht</w:t>
      </w:r>
      <w:r w:rsidR="00C02982">
        <w:rPr>
          <w:color w:val="000000" w:themeColor="text1"/>
          <w:szCs w:val="17"/>
        </w:rPr>
        <w:t>e</w:t>
      </w:r>
      <w:r w:rsidR="007E371D">
        <w:rPr>
          <w:color w:val="000000" w:themeColor="text1"/>
          <w:szCs w:val="17"/>
        </w:rPr>
        <w:t xml:space="preserve"> gebruik van de </w:t>
      </w:r>
      <w:r w:rsidR="001577C0">
        <w:rPr>
          <w:color w:val="000000" w:themeColor="text1"/>
          <w:szCs w:val="17"/>
        </w:rPr>
        <w:t>betaal</w:t>
      </w:r>
      <w:r w:rsidR="007E371D">
        <w:rPr>
          <w:color w:val="000000" w:themeColor="text1"/>
          <w:szCs w:val="17"/>
        </w:rPr>
        <w:t>rekening</w:t>
      </w:r>
      <w:r w:rsidR="00C02982">
        <w:rPr>
          <w:color w:val="000000" w:themeColor="text1"/>
          <w:szCs w:val="17"/>
        </w:rPr>
        <w:t>.</w:t>
      </w:r>
      <w:r w:rsidR="00557FFE">
        <w:rPr>
          <w:rStyle w:val="Voetnootmarkering"/>
          <w:color w:val="000000" w:themeColor="text1"/>
          <w:szCs w:val="17"/>
        </w:rPr>
        <w:footnoteReference w:id="13"/>
      </w:r>
      <w:r w:rsidR="00C02982">
        <w:rPr>
          <w:color w:val="000000" w:themeColor="text1"/>
          <w:szCs w:val="17"/>
        </w:rPr>
        <w:t xml:space="preserve"> </w:t>
      </w:r>
      <w:r w:rsidR="00DC5300">
        <w:rPr>
          <w:color w:val="000000" w:themeColor="text1"/>
          <w:szCs w:val="17"/>
        </w:rPr>
        <w:t xml:space="preserve">Door een </w:t>
      </w:r>
      <w:r w:rsidR="00DC5300">
        <w:rPr>
          <w:color w:val="000000" w:themeColor="text1"/>
          <w:szCs w:val="17"/>
        </w:rPr>
        <w:lastRenderedPageBreak/>
        <w:t>transactieprofiel</w:t>
      </w:r>
      <w:r w:rsidR="007E371D" w:rsidRPr="0015014D">
        <w:rPr>
          <w:color w:val="000000" w:themeColor="text1"/>
          <w:szCs w:val="17"/>
        </w:rPr>
        <w:t xml:space="preserve"> </w:t>
      </w:r>
      <w:r w:rsidR="00596465">
        <w:rPr>
          <w:color w:val="000000" w:themeColor="text1"/>
          <w:szCs w:val="17"/>
        </w:rPr>
        <w:t xml:space="preserve">aan te maken, </w:t>
      </w:r>
      <w:r w:rsidR="00C02982" w:rsidRPr="0015014D">
        <w:rPr>
          <w:color w:val="000000" w:themeColor="text1"/>
          <w:szCs w:val="17"/>
        </w:rPr>
        <w:t xml:space="preserve">kan </w:t>
      </w:r>
      <w:r w:rsidR="00CE6D6D">
        <w:rPr>
          <w:color w:val="000000" w:themeColor="text1"/>
          <w:szCs w:val="17"/>
        </w:rPr>
        <w:t>uw</w:t>
      </w:r>
      <w:r w:rsidR="00CE6D6D" w:rsidRPr="0015014D">
        <w:rPr>
          <w:color w:val="000000" w:themeColor="text1"/>
          <w:szCs w:val="17"/>
        </w:rPr>
        <w:t xml:space="preserve"> </w:t>
      </w:r>
      <w:r w:rsidR="001577C0">
        <w:rPr>
          <w:color w:val="000000" w:themeColor="text1"/>
          <w:szCs w:val="17"/>
        </w:rPr>
        <w:t>instelling</w:t>
      </w:r>
      <w:r w:rsidR="00C02982" w:rsidRPr="0015014D">
        <w:rPr>
          <w:color w:val="000000" w:themeColor="text1"/>
          <w:szCs w:val="17"/>
        </w:rPr>
        <w:t xml:space="preserve"> </w:t>
      </w:r>
      <w:r w:rsidR="007E371D" w:rsidRPr="0015014D">
        <w:rPr>
          <w:color w:val="000000" w:themeColor="text1"/>
          <w:szCs w:val="17"/>
        </w:rPr>
        <w:t xml:space="preserve">zich </w:t>
      </w:r>
      <w:r w:rsidR="00C02982" w:rsidRPr="0015014D">
        <w:rPr>
          <w:color w:val="000000" w:themeColor="text1"/>
          <w:szCs w:val="17"/>
        </w:rPr>
        <w:t xml:space="preserve">er </w:t>
      </w:r>
      <w:r w:rsidR="007E371D" w:rsidRPr="0015014D">
        <w:rPr>
          <w:color w:val="000000" w:themeColor="text1"/>
          <w:szCs w:val="17"/>
        </w:rPr>
        <w:t xml:space="preserve">in voldoende mate </w:t>
      </w:r>
      <w:r w:rsidR="00C02982" w:rsidRPr="0015014D">
        <w:rPr>
          <w:color w:val="000000" w:themeColor="text1"/>
          <w:szCs w:val="17"/>
        </w:rPr>
        <w:t xml:space="preserve">van </w:t>
      </w:r>
      <w:r w:rsidR="007E371D" w:rsidRPr="0015014D">
        <w:rPr>
          <w:color w:val="000000" w:themeColor="text1"/>
          <w:szCs w:val="17"/>
        </w:rPr>
        <w:t xml:space="preserve">verzekeren dat de tijdens de duur van de relatie verrichte transacties overeenkomen met de kennis die </w:t>
      </w:r>
      <w:r w:rsidR="00C02982" w:rsidRPr="0015014D">
        <w:rPr>
          <w:color w:val="000000" w:themeColor="text1"/>
          <w:szCs w:val="17"/>
        </w:rPr>
        <w:t>u</w:t>
      </w:r>
      <w:r w:rsidR="007E371D" w:rsidRPr="0015014D">
        <w:rPr>
          <w:color w:val="000000" w:themeColor="text1"/>
          <w:szCs w:val="17"/>
        </w:rPr>
        <w:t xml:space="preserve"> heeft van de cliënt en diens risicoprofiel. Door het </w:t>
      </w:r>
      <w:r w:rsidR="007E371D" w:rsidRPr="0015014D">
        <w:rPr>
          <w:i/>
          <w:color w:val="000000" w:themeColor="text1"/>
          <w:szCs w:val="17"/>
        </w:rPr>
        <w:t>verwachte</w:t>
      </w:r>
      <w:r w:rsidR="007E371D" w:rsidRPr="0015014D">
        <w:rPr>
          <w:color w:val="000000" w:themeColor="text1"/>
          <w:szCs w:val="17"/>
        </w:rPr>
        <w:t xml:space="preserve"> transactiegedrag</w:t>
      </w:r>
      <w:r w:rsidR="007E371D">
        <w:rPr>
          <w:color w:val="000000" w:themeColor="text1"/>
          <w:szCs w:val="17"/>
        </w:rPr>
        <w:t xml:space="preserve"> van de cliënt mee te nemen, k</w:t>
      </w:r>
      <w:r w:rsidR="00C02982">
        <w:rPr>
          <w:color w:val="000000" w:themeColor="text1"/>
          <w:szCs w:val="17"/>
        </w:rPr>
        <w:t>unt u</w:t>
      </w:r>
      <w:r w:rsidR="007E371D">
        <w:rPr>
          <w:color w:val="000000" w:themeColor="text1"/>
          <w:szCs w:val="17"/>
        </w:rPr>
        <w:t xml:space="preserve"> toetsen of de door de cliënt uitgevoerde transacties overeenkomen </w:t>
      </w:r>
      <w:r w:rsidR="007E371D" w:rsidRPr="002A12E2">
        <w:rPr>
          <w:color w:val="000000" w:themeColor="text1"/>
          <w:szCs w:val="17"/>
        </w:rPr>
        <w:t xml:space="preserve">met de kennis die </w:t>
      </w:r>
      <w:r w:rsidR="0021634F">
        <w:rPr>
          <w:color w:val="000000" w:themeColor="text1"/>
          <w:szCs w:val="17"/>
        </w:rPr>
        <w:t>u</w:t>
      </w:r>
      <w:r w:rsidR="007E371D" w:rsidRPr="002A12E2">
        <w:rPr>
          <w:color w:val="000000" w:themeColor="text1"/>
          <w:szCs w:val="17"/>
        </w:rPr>
        <w:t xml:space="preserve"> heeft van de cliënt</w:t>
      </w:r>
      <w:r w:rsidR="007E371D">
        <w:rPr>
          <w:color w:val="000000" w:themeColor="text1"/>
          <w:szCs w:val="17"/>
        </w:rPr>
        <w:t>.</w:t>
      </w:r>
      <w:r w:rsidR="007E371D" w:rsidRPr="007E371D">
        <w:t xml:space="preserve"> </w:t>
      </w:r>
    </w:p>
    <w:p w:rsidR="007B3958" w:rsidRDefault="007B3958" w:rsidP="00177299">
      <w:pPr>
        <w:rPr>
          <w:color w:val="000000" w:themeColor="text1"/>
          <w:szCs w:val="17"/>
        </w:rPr>
      </w:pPr>
    </w:p>
    <w:p w:rsidR="00070D27" w:rsidRDefault="007E371D" w:rsidP="007B3958">
      <w:pPr>
        <w:pStyle w:val="Lijstalinea"/>
        <w:numPr>
          <w:ilvl w:val="0"/>
          <w:numId w:val="35"/>
        </w:numPr>
      </w:pPr>
      <w:r w:rsidRPr="007B3958">
        <w:t xml:space="preserve">Voor </w:t>
      </w:r>
      <w:r w:rsidR="003E0DDD" w:rsidRPr="007B3958">
        <w:t xml:space="preserve">de tweede stap, </w:t>
      </w:r>
      <w:r w:rsidRPr="007B3958">
        <w:t xml:space="preserve">het detecteren van ongebruikelijke transactiepatronen en transacties die kunnen duiden op witwassen of </w:t>
      </w:r>
      <w:r w:rsidR="00747495" w:rsidRPr="007B3958">
        <w:t xml:space="preserve">financieringen van </w:t>
      </w:r>
      <w:r w:rsidRPr="007B3958">
        <w:t xml:space="preserve">terrorisme, </w:t>
      </w:r>
      <w:r w:rsidR="0032271C" w:rsidRPr="007B3958">
        <w:t xml:space="preserve">maakt </w:t>
      </w:r>
      <w:r w:rsidR="00C02982" w:rsidRPr="007B3958">
        <w:t>u</w:t>
      </w:r>
      <w:r w:rsidR="003E0DDD" w:rsidRPr="007B3958">
        <w:t xml:space="preserve"> </w:t>
      </w:r>
      <w:r w:rsidR="0032271C" w:rsidRPr="007B3958">
        <w:t>gebruik van een</w:t>
      </w:r>
      <w:r w:rsidRPr="007B3958">
        <w:t xml:space="preserve"> (post-event) transactiemonitoring</w:t>
      </w:r>
      <w:r w:rsidR="00672CA6" w:rsidRPr="007B3958">
        <w:t>s</w:t>
      </w:r>
      <w:r w:rsidRPr="007B3958">
        <w:t xml:space="preserve">systeem. </w:t>
      </w:r>
      <w:r w:rsidR="00434C9A">
        <w:t>I</w:t>
      </w:r>
      <w:r w:rsidR="00A11546" w:rsidRPr="004844D4">
        <w:t xml:space="preserve">nformatie en data over de </w:t>
      </w:r>
      <w:r w:rsidRPr="004844D4">
        <w:t>cliënt</w:t>
      </w:r>
      <w:r w:rsidR="00B857B6">
        <w:t>, diensten</w:t>
      </w:r>
      <w:r w:rsidR="00747495">
        <w:t xml:space="preserve"> aan de cliënt en diens </w:t>
      </w:r>
      <w:r w:rsidR="00A11546" w:rsidRPr="004844D4">
        <w:t xml:space="preserve">transacties </w:t>
      </w:r>
      <w:r w:rsidR="00434C9A">
        <w:t xml:space="preserve">gebruikt </w:t>
      </w:r>
      <w:r w:rsidR="00C02982">
        <w:t xml:space="preserve">u </w:t>
      </w:r>
      <w:r w:rsidR="00CE6D6D">
        <w:t xml:space="preserve">in </w:t>
      </w:r>
      <w:r w:rsidR="00C02982">
        <w:t xml:space="preserve">uw </w:t>
      </w:r>
      <w:r>
        <w:t>transactiemonitoring</w:t>
      </w:r>
      <w:r w:rsidR="00672CA6">
        <w:t>s</w:t>
      </w:r>
      <w:r>
        <w:t>systeem.</w:t>
      </w:r>
      <w:r w:rsidR="00B857B6">
        <w:t xml:space="preserve"> </w:t>
      </w:r>
      <w:r w:rsidR="005A4D43">
        <w:t xml:space="preserve">Indien sprake is van </w:t>
      </w:r>
      <w:r w:rsidR="00FD4DA7">
        <w:t>grotere</w:t>
      </w:r>
      <w:r w:rsidR="005A4D43">
        <w:t xml:space="preserve"> hoeveelheden transacties, </w:t>
      </w:r>
      <w:r w:rsidR="00331E32">
        <w:t xml:space="preserve">ligt het in de rede </w:t>
      </w:r>
      <w:r w:rsidR="005A4D43">
        <w:t xml:space="preserve">om de transactiemonitoring geautomatiseerd te laten plaatsvinden </w:t>
      </w:r>
      <w:r w:rsidR="00596465">
        <w:t xml:space="preserve">om </w:t>
      </w:r>
      <w:r w:rsidR="005A4D43">
        <w:t xml:space="preserve">de </w:t>
      </w:r>
      <w:r w:rsidR="00FD4DA7">
        <w:t>effectiviteit, consistentie</w:t>
      </w:r>
      <w:r w:rsidR="005A4D43">
        <w:t xml:space="preserve"> en</w:t>
      </w:r>
      <w:r w:rsidR="00FD4DA7">
        <w:t xml:space="preserve"> doorlooptijd van monitoring te kunnen borgen. </w:t>
      </w:r>
      <w:r w:rsidR="00B857B6">
        <w:t xml:space="preserve">In </w:t>
      </w:r>
      <w:r w:rsidR="00FD4DA7">
        <w:t>he</w:t>
      </w:r>
      <w:r w:rsidR="00B857B6">
        <w:t xml:space="preserve">t systeem zijn </w:t>
      </w:r>
      <w:r w:rsidR="00747495">
        <w:t xml:space="preserve">op zijn minst </w:t>
      </w:r>
      <w:r w:rsidR="00B857B6" w:rsidRPr="004844D4">
        <w:t xml:space="preserve">vooraf gedefinieerde </w:t>
      </w:r>
      <w:r w:rsidR="00B857B6" w:rsidRPr="007B3958">
        <w:t>business rules</w:t>
      </w:r>
      <w:r w:rsidR="00B857B6" w:rsidRPr="004844D4">
        <w:t xml:space="preserve"> </w:t>
      </w:r>
      <w:r w:rsidR="007C2664">
        <w:t>opgenomen:</w:t>
      </w:r>
      <w:r w:rsidR="007C2664" w:rsidRPr="004844D4">
        <w:t xml:space="preserve"> </w:t>
      </w:r>
      <w:r w:rsidR="00FD2BCD">
        <w:t xml:space="preserve">detectieregels in de vorm van </w:t>
      </w:r>
      <w:r w:rsidR="00B857B6" w:rsidRPr="004844D4">
        <w:t>scenario’s en grensbedragen</w:t>
      </w:r>
      <w:r w:rsidR="00B857B6">
        <w:t>.</w:t>
      </w:r>
      <w:r w:rsidR="00596465">
        <w:t xml:space="preserve"> Daarnaast zijn o</w:t>
      </w:r>
      <w:r w:rsidR="00747495">
        <w:t>ok meer geavanceerde systemen</w:t>
      </w:r>
      <w:r w:rsidR="00596465">
        <w:t xml:space="preserve">, </w:t>
      </w:r>
      <w:r w:rsidR="00331E32">
        <w:t xml:space="preserve">zoals </w:t>
      </w:r>
      <w:r w:rsidR="000C24F9" w:rsidRPr="007B3958">
        <w:t>a</w:t>
      </w:r>
      <w:r w:rsidR="00331E32" w:rsidRPr="007B3958">
        <w:t xml:space="preserve">rtificial </w:t>
      </w:r>
      <w:r w:rsidR="000C24F9" w:rsidRPr="007B3958">
        <w:t>i</w:t>
      </w:r>
      <w:r w:rsidR="00331E32" w:rsidRPr="007B3958">
        <w:t>ntelligence</w:t>
      </w:r>
      <w:r w:rsidR="008F6F8E" w:rsidRPr="007B3958">
        <w:t>-</w:t>
      </w:r>
      <w:r w:rsidR="00331E32">
        <w:t>systemen</w:t>
      </w:r>
      <w:r w:rsidR="00596465">
        <w:t>,</w:t>
      </w:r>
      <w:r w:rsidR="00596465" w:rsidRPr="00596465">
        <w:t xml:space="preserve"> </w:t>
      </w:r>
      <w:r w:rsidR="00596465">
        <w:t>gewenst</w:t>
      </w:r>
      <w:r w:rsidR="00CE6D6D">
        <w:t>,</w:t>
      </w:r>
      <w:r w:rsidR="00331E32">
        <w:t xml:space="preserve"> en in voorkomende gevallen</w:t>
      </w:r>
      <w:r w:rsidR="00333196">
        <w:t xml:space="preserve"> </w:t>
      </w:r>
      <w:r w:rsidR="007C2664">
        <w:t xml:space="preserve">noodzakelijk, </w:t>
      </w:r>
      <w:r w:rsidR="00333196">
        <w:t>afhankelijk van onder meer aard en omvang van transacties</w:t>
      </w:r>
      <w:r w:rsidR="00747495">
        <w:t>.</w:t>
      </w:r>
      <w:r w:rsidR="00333196">
        <w:t xml:space="preserve"> </w:t>
      </w:r>
      <w:r w:rsidR="00AB577C">
        <w:t xml:space="preserve">Anderzijds </w:t>
      </w:r>
      <w:r w:rsidR="00333196">
        <w:t>zal bij een b</w:t>
      </w:r>
      <w:r w:rsidR="008C3540">
        <w:t>etaaldienstverlener</w:t>
      </w:r>
      <w:r w:rsidR="00333196">
        <w:t xml:space="preserve"> met bijvoorbeeld een eenvoudig bedrijfsmodel en een beperkt aantal eenvoudige transacties, een geavanceerd systeem mogelijk minder noodzakelijk zijn.</w:t>
      </w:r>
    </w:p>
    <w:p w:rsidR="00070D27" w:rsidRDefault="00070D27" w:rsidP="00177299"/>
    <w:p w:rsidR="00596465" w:rsidRDefault="00A11546" w:rsidP="00177299">
      <w:r w:rsidRPr="004844D4">
        <w:t>Met behulp van</w:t>
      </w:r>
      <w:r w:rsidR="007E371D">
        <w:t xml:space="preserve"> </w:t>
      </w:r>
      <w:r w:rsidR="004455F6">
        <w:t xml:space="preserve">uw </w:t>
      </w:r>
      <w:r w:rsidR="00747495">
        <w:t>transactiemonitorings</w:t>
      </w:r>
      <w:r w:rsidR="004455F6">
        <w:t xml:space="preserve">systeem en gebruik van </w:t>
      </w:r>
      <w:r w:rsidR="007E371D">
        <w:t xml:space="preserve">intelligente software </w:t>
      </w:r>
      <w:r w:rsidR="00C02982">
        <w:t>k</w:t>
      </w:r>
      <w:r w:rsidR="003446AA">
        <w:t>u</w:t>
      </w:r>
      <w:r w:rsidR="00C02982">
        <w:t>n</w:t>
      </w:r>
      <w:r w:rsidR="003446AA">
        <w:t>t</w:t>
      </w:r>
      <w:r w:rsidR="00C02982">
        <w:t xml:space="preserve"> </w:t>
      </w:r>
      <w:r w:rsidR="003446AA">
        <w:t xml:space="preserve">u – als derde stap - </w:t>
      </w:r>
      <w:r w:rsidR="00B857B6">
        <w:t xml:space="preserve">deze data </w:t>
      </w:r>
      <w:r w:rsidRPr="004844D4">
        <w:t>continu analyser</w:t>
      </w:r>
      <w:r w:rsidR="00C02982">
        <w:t>en</w:t>
      </w:r>
      <w:r w:rsidR="007E371D">
        <w:t>. Het systeem genereert</w:t>
      </w:r>
      <w:r w:rsidR="002C3645">
        <w:t xml:space="preserve"> </w:t>
      </w:r>
      <w:r w:rsidR="00FD4DA7" w:rsidRPr="004844D4">
        <w:t>op basis van de</w:t>
      </w:r>
      <w:r w:rsidR="00FD4DA7">
        <w:t xml:space="preserve">ze </w:t>
      </w:r>
      <w:r w:rsidR="00FD4DA7" w:rsidRPr="0030794B">
        <w:rPr>
          <w:i/>
        </w:rPr>
        <w:t>business rules</w:t>
      </w:r>
      <w:r w:rsidR="00FD4DA7">
        <w:t xml:space="preserve"> </w:t>
      </w:r>
      <w:r w:rsidR="002C3645">
        <w:t xml:space="preserve">vervolgens </w:t>
      </w:r>
      <w:r w:rsidRPr="004844D4">
        <w:t>alerts</w:t>
      </w:r>
      <w:r w:rsidR="007E371D">
        <w:t>.</w:t>
      </w:r>
      <w:r w:rsidR="00B857B6">
        <w:t xml:space="preserve"> Met een alert wordt </w:t>
      </w:r>
      <w:r w:rsidR="00124BE2">
        <w:t xml:space="preserve">een signaal </w:t>
      </w:r>
      <w:r w:rsidR="003446AA">
        <w:t xml:space="preserve">bedoeld </w:t>
      </w:r>
      <w:r w:rsidR="00124BE2">
        <w:t>dat</w:t>
      </w:r>
      <w:r w:rsidR="00B857B6" w:rsidRPr="0032271C">
        <w:t xml:space="preserve"> </w:t>
      </w:r>
      <w:r w:rsidR="00124BE2">
        <w:t>duidt op een mogelijk ongebruikelijke transactie</w:t>
      </w:r>
      <w:r w:rsidR="00331E32">
        <w:t xml:space="preserve"> </w:t>
      </w:r>
      <w:r w:rsidR="00A22ECD">
        <w:t>dan wel</w:t>
      </w:r>
      <w:r w:rsidR="00331E32">
        <w:t xml:space="preserve"> </w:t>
      </w:r>
      <w:r w:rsidR="00A22ECD">
        <w:t xml:space="preserve">een </w:t>
      </w:r>
      <w:r w:rsidR="00F935E4">
        <w:t>transactie met hoogrisico-karakter</w:t>
      </w:r>
      <w:r w:rsidR="00124BE2">
        <w:t xml:space="preserve"> </w:t>
      </w:r>
      <w:r w:rsidR="00A22ECD">
        <w:t xml:space="preserve">die </w:t>
      </w:r>
      <w:r w:rsidR="00A83D75">
        <w:t>u als instelling</w:t>
      </w:r>
      <w:r w:rsidR="003446AA">
        <w:t xml:space="preserve"> moet onderzoeken</w:t>
      </w:r>
      <w:r w:rsidR="00124BE2">
        <w:t>.</w:t>
      </w:r>
      <w:r w:rsidR="00B91E12">
        <w:t xml:space="preserve"> </w:t>
      </w:r>
      <w:r w:rsidRPr="004844D4">
        <w:t>De bevindingen van</w:t>
      </w:r>
      <w:r w:rsidR="008E6705">
        <w:t xml:space="preserve"> </w:t>
      </w:r>
      <w:r w:rsidR="003446AA">
        <w:t xml:space="preserve">uw </w:t>
      </w:r>
      <w:r w:rsidRPr="004844D4">
        <w:t xml:space="preserve">onderzoek </w:t>
      </w:r>
      <w:r w:rsidR="00124BE2">
        <w:t xml:space="preserve">van de </w:t>
      </w:r>
      <w:r w:rsidR="008E6705">
        <w:t>alert</w:t>
      </w:r>
      <w:r w:rsidR="00124BE2">
        <w:t>s</w:t>
      </w:r>
      <w:r w:rsidR="008E6705">
        <w:t xml:space="preserve"> </w:t>
      </w:r>
      <w:r w:rsidRPr="004844D4">
        <w:t xml:space="preserve">worden </w:t>
      </w:r>
      <w:r w:rsidR="008E6705">
        <w:t>adequaat</w:t>
      </w:r>
      <w:r w:rsidRPr="004844D4">
        <w:t xml:space="preserve"> </w:t>
      </w:r>
      <w:r w:rsidR="00747495">
        <w:t xml:space="preserve">en duidelijk </w:t>
      </w:r>
      <w:r w:rsidRPr="004844D4">
        <w:t>vastgelegd.</w:t>
      </w:r>
      <w:r w:rsidR="008E6705">
        <w:t xml:space="preserve"> </w:t>
      </w:r>
      <w:r w:rsidR="003446AA">
        <w:t xml:space="preserve">Als uit </w:t>
      </w:r>
      <w:r w:rsidR="008E6705">
        <w:t xml:space="preserve">de onderzoeksbevindingen </w:t>
      </w:r>
      <w:r w:rsidR="003446AA">
        <w:t xml:space="preserve">blijkt dat </w:t>
      </w:r>
      <w:r w:rsidR="008E6705">
        <w:t xml:space="preserve">de transactie </w:t>
      </w:r>
      <w:r w:rsidR="00124BE2">
        <w:t>ongebruikelijk is</w:t>
      </w:r>
      <w:r w:rsidRPr="004844D4">
        <w:t xml:space="preserve">, meldt </w:t>
      </w:r>
      <w:r w:rsidR="003446AA">
        <w:t xml:space="preserve">u </w:t>
      </w:r>
      <w:r w:rsidRPr="004844D4">
        <w:t xml:space="preserve">deze transactie onverwijld aan de </w:t>
      </w:r>
      <w:r w:rsidR="002B68CE">
        <w:t>FIU-NL</w:t>
      </w:r>
      <w:r w:rsidR="008E6705">
        <w:t xml:space="preserve">. </w:t>
      </w:r>
      <w:r w:rsidRPr="004844D4">
        <w:t>De overwegingen en besluitvorming om een transactie wel of niet te melden</w:t>
      </w:r>
      <w:r w:rsidR="003446AA">
        <w:t>,</w:t>
      </w:r>
      <w:r w:rsidRPr="004844D4">
        <w:t xml:space="preserve"> </w:t>
      </w:r>
      <w:r w:rsidR="003446AA">
        <w:t xml:space="preserve">heeft u </w:t>
      </w:r>
      <w:r w:rsidR="002C3645">
        <w:t>voldoende inzichtelijk gemaakt</w:t>
      </w:r>
      <w:r w:rsidR="008E6705">
        <w:t>.</w:t>
      </w:r>
      <w:r w:rsidR="00B46D02">
        <w:t xml:space="preserve"> </w:t>
      </w:r>
    </w:p>
    <w:p w:rsidR="0080447A" w:rsidRDefault="0080447A" w:rsidP="00177299"/>
    <w:p w:rsidR="00207852" w:rsidRPr="00177299" w:rsidRDefault="003446AA" w:rsidP="00177299">
      <w:r>
        <w:t xml:space="preserve">U </w:t>
      </w:r>
      <w:r w:rsidR="00A11546" w:rsidRPr="004844D4">
        <w:t xml:space="preserve">beoordeelt de gevolgen van een melding aan de </w:t>
      </w:r>
      <w:r w:rsidR="002B68CE">
        <w:t>FIU-NL</w:t>
      </w:r>
      <w:r w:rsidR="00A11546" w:rsidRPr="004844D4">
        <w:t xml:space="preserve"> en een eventuel</w:t>
      </w:r>
      <w:r w:rsidR="00747495">
        <w:t>e</w:t>
      </w:r>
      <w:r w:rsidR="00A11546" w:rsidRPr="004844D4">
        <w:t xml:space="preserve"> terugmelding van de </w:t>
      </w:r>
      <w:r w:rsidR="002B68CE">
        <w:t>FIU-NL</w:t>
      </w:r>
      <w:r w:rsidR="00A11546" w:rsidRPr="004844D4">
        <w:t xml:space="preserve"> voor het r</w:t>
      </w:r>
      <w:r w:rsidR="002C3645">
        <w:t>isicoprofiel van de cliënt en</w:t>
      </w:r>
      <w:r w:rsidR="00A11546" w:rsidRPr="004844D4">
        <w:t xml:space="preserve"> eventuele aanvullende beheersmaatregelen.</w:t>
      </w:r>
      <w:r w:rsidR="00B46D02">
        <w:t xml:space="preserve"> Sluitstuk van het transactiemonitoringsproces is de bewaring van gegevens die u verkrijgt in het kader van transactiemonitoring.</w:t>
      </w:r>
    </w:p>
    <w:p w:rsidR="00990A9B" w:rsidRDefault="00B91E12" w:rsidP="00B91E12">
      <w:pPr>
        <w:pStyle w:val="Kop2"/>
      </w:pPr>
      <w:bookmarkStart w:id="11" w:name="_Toc479794859"/>
      <w:bookmarkStart w:id="12" w:name="_Toc479794928"/>
      <w:bookmarkStart w:id="13" w:name="_Toc483922731"/>
      <w:bookmarkEnd w:id="11"/>
      <w:bookmarkEnd w:id="12"/>
      <w:r>
        <w:t>Volwassenheidsmodel</w:t>
      </w:r>
      <w:bookmarkEnd w:id="13"/>
    </w:p>
    <w:p w:rsidR="00897AB3" w:rsidRPr="00897AB3" w:rsidRDefault="00897AB3" w:rsidP="00897AB3"/>
    <w:p w:rsidR="00231AA0" w:rsidRDefault="00662C6E" w:rsidP="00F90D70">
      <w:r>
        <w:t xml:space="preserve">Het themaonderzoek (post-event) transactiemonitoring bij </w:t>
      </w:r>
      <w:r w:rsidR="00C5653C">
        <w:t>betaaldienstverleners</w:t>
      </w:r>
      <w:r>
        <w:t xml:space="preserve"> zag toe op het beoordelen van de opzet, het bestaan en de werking van h</w:t>
      </w:r>
      <w:r w:rsidR="005E39DE">
        <w:t>un</w:t>
      </w:r>
      <w:r>
        <w:t xml:space="preserve"> </w:t>
      </w:r>
      <w:r w:rsidR="008B6F0E">
        <w:t xml:space="preserve">post-event </w:t>
      </w:r>
      <w:r>
        <w:t xml:space="preserve">transactiemonitoringsproces. </w:t>
      </w:r>
      <w:r w:rsidR="00596465">
        <w:t>B</w:t>
      </w:r>
      <w:r w:rsidR="00990A9B">
        <w:t xml:space="preserve">ij </w:t>
      </w:r>
      <w:r>
        <w:t>de uitvoering van dit</w:t>
      </w:r>
      <w:r w:rsidR="00990A9B">
        <w:t xml:space="preserve"> </w:t>
      </w:r>
      <w:r>
        <w:t>thema</w:t>
      </w:r>
      <w:r w:rsidR="00990A9B">
        <w:t xml:space="preserve">onderzoek </w:t>
      </w:r>
      <w:r w:rsidR="00596465">
        <w:t xml:space="preserve">hebben we </w:t>
      </w:r>
      <w:r w:rsidR="00990A9B">
        <w:t xml:space="preserve">gebruik gemaakt van </w:t>
      </w:r>
      <w:r w:rsidR="003446AA">
        <w:t>een</w:t>
      </w:r>
      <w:r w:rsidR="008B6F0E">
        <w:t xml:space="preserve"> door </w:t>
      </w:r>
      <w:r w:rsidR="00596465">
        <w:t>DNB</w:t>
      </w:r>
      <w:r w:rsidR="008B6F0E">
        <w:t xml:space="preserve"> ontwikkeld</w:t>
      </w:r>
      <w:r w:rsidR="003446AA">
        <w:t xml:space="preserve"> </w:t>
      </w:r>
      <w:r w:rsidR="00990A9B">
        <w:t>volwassenheidsmodel</w:t>
      </w:r>
      <w:r w:rsidR="00D36781">
        <w:t xml:space="preserve"> voor transactiemonitoring</w:t>
      </w:r>
      <w:r w:rsidR="00990A9B">
        <w:t>.</w:t>
      </w:r>
      <w:r w:rsidR="003446AA">
        <w:t xml:space="preserve"> </w:t>
      </w:r>
      <w:r w:rsidR="00DF1758">
        <w:t xml:space="preserve">Dit model </w:t>
      </w:r>
      <w:r w:rsidR="00FD4DA7">
        <w:t xml:space="preserve">houdt rekening met de relevante vereisten uit de Wft en Wwft en </w:t>
      </w:r>
      <w:r w:rsidR="00DF1758">
        <w:t xml:space="preserve">is bedoeld om aan te geven waar een </w:t>
      </w:r>
      <w:r w:rsidR="003E2714">
        <w:t>betaaldienstverlener</w:t>
      </w:r>
      <w:r w:rsidR="00DF1758">
        <w:t xml:space="preserve"> zich qua volwassenheid </w:t>
      </w:r>
      <w:r w:rsidR="00747495">
        <w:t>in het</w:t>
      </w:r>
      <w:r w:rsidR="00DF1758">
        <w:t xml:space="preserve"> transactiemonitoring</w:t>
      </w:r>
      <w:r w:rsidR="00747495">
        <w:t>sproces</w:t>
      </w:r>
      <w:r w:rsidR="00DF1758">
        <w:t xml:space="preserve"> bevindt.</w:t>
      </w:r>
      <w:r w:rsidR="00BF4556">
        <w:t xml:space="preserve"> </w:t>
      </w:r>
      <w:r w:rsidR="00DF1758">
        <w:t xml:space="preserve">In dit model </w:t>
      </w:r>
      <w:r w:rsidR="00BF4556">
        <w:t xml:space="preserve">wordt de mate van naleving </w:t>
      </w:r>
      <w:r w:rsidR="00DF1758">
        <w:t xml:space="preserve">(van non-compliance tot best </w:t>
      </w:r>
      <w:r w:rsidR="009D3C89">
        <w:t>practice</w:t>
      </w:r>
      <w:r w:rsidR="00DF1758">
        <w:t xml:space="preserve">) </w:t>
      </w:r>
      <w:r w:rsidR="00747495">
        <w:t xml:space="preserve">op zes gebieden </w:t>
      </w:r>
      <w:r w:rsidR="00BF4556">
        <w:t>toegelicht</w:t>
      </w:r>
      <w:r w:rsidR="003446AA">
        <w:t xml:space="preserve"> </w:t>
      </w:r>
      <w:r w:rsidR="00231AA0">
        <w:t xml:space="preserve">aan de hand van een vierpuntschaal: </w:t>
      </w:r>
    </w:p>
    <w:p w:rsidR="00231AA0" w:rsidRDefault="00747495" w:rsidP="00231AA0">
      <w:pPr>
        <w:pStyle w:val="Lijstalinea"/>
        <w:numPr>
          <w:ilvl w:val="0"/>
          <w:numId w:val="26"/>
        </w:numPr>
      </w:pPr>
      <w:r>
        <w:t>R</w:t>
      </w:r>
      <w:r w:rsidR="00231AA0">
        <w:t>ode kwalificatie: is geheel non-complian</w:t>
      </w:r>
      <w:r w:rsidR="002A23E2">
        <w:t>t</w:t>
      </w:r>
    </w:p>
    <w:p w:rsidR="00231AA0" w:rsidRDefault="00747495" w:rsidP="00231AA0">
      <w:pPr>
        <w:pStyle w:val="Lijstalinea"/>
        <w:numPr>
          <w:ilvl w:val="0"/>
          <w:numId w:val="26"/>
        </w:numPr>
      </w:pPr>
      <w:r>
        <w:t>O</w:t>
      </w:r>
      <w:r w:rsidR="00231AA0">
        <w:t>ranje</w:t>
      </w:r>
      <w:r w:rsidR="003446AA">
        <w:t xml:space="preserve"> score: </w:t>
      </w:r>
      <w:r w:rsidR="00231AA0">
        <w:t>is onvoldoende complian</w:t>
      </w:r>
      <w:r w:rsidR="002A23E2">
        <w:t>t</w:t>
      </w:r>
    </w:p>
    <w:p w:rsidR="00231AA0" w:rsidRDefault="00747495" w:rsidP="00231AA0">
      <w:pPr>
        <w:pStyle w:val="Lijstalinea"/>
        <w:numPr>
          <w:ilvl w:val="0"/>
          <w:numId w:val="26"/>
        </w:numPr>
      </w:pPr>
      <w:r>
        <w:t>G</w:t>
      </w:r>
      <w:r w:rsidR="00231AA0">
        <w:t>el</w:t>
      </w:r>
      <w:r w:rsidR="002A23E2">
        <w:t>e</w:t>
      </w:r>
      <w:r w:rsidR="00231AA0">
        <w:t xml:space="preserve"> score</w:t>
      </w:r>
      <w:r w:rsidR="002A23E2">
        <w:t>:</w:t>
      </w:r>
      <w:r w:rsidR="00231AA0">
        <w:t xml:space="preserve"> </w:t>
      </w:r>
      <w:r w:rsidR="003446AA">
        <w:t xml:space="preserve">is </w:t>
      </w:r>
      <w:r w:rsidR="00231AA0">
        <w:t>in voldoende mate complian</w:t>
      </w:r>
      <w:r w:rsidR="002A23E2">
        <w:t>t</w:t>
      </w:r>
    </w:p>
    <w:p w:rsidR="00231AA0" w:rsidRDefault="00747495" w:rsidP="00231AA0">
      <w:pPr>
        <w:pStyle w:val="Lijstalinea"/>
        <w:numPr>
          <w:ilvl w:val="0"/>
          <w:numId w:val="26"/>
        </w:numPr>
      </w:pPr>
      <w:r>
        <w:t>G</w:t>
      </w:r>
      <w:r w:rsidR="00231AA0">
        <w:t>roen</w:t>
      </w:r>
      <w:r w:rsidR="002A23E2">
        <w:t>e</w:t>
      </w:r>
      <w:r w:rsidR="00231AA0">
        <w:t xml:space="preserve"> score</w:t>
      </w:r>
      <w:r w:rsidR="003446AA">
        <w:t>:</w:t>
      </w:r>
      <w:r w:rsidR="00231AA0">
        <w:t xml:space="preserve"> is best practice</w:t>
      </w:r>
    </w:p>
    <w:p w:rsidR="005715F3" w:rsidRDefault="005715F3" w:rsidP="00F90D70"/>
    <w:p w:rsidR="008B1D89" w:rsidRDefault="006958C2" w:rsidP="00F90D70">
      <w:r>
        <w:t>In o</w:t>
      </w:r>
      <w:r w:rsidR="005715F3">
        <w:t xml:space="preserve">nderstaand figuur ziet u </w:t>
      </w:r>
      <w:r>
        <w:t xml:space="preserve">het volwassenheidsmodel nader uitgewerkt, inclusief </w:t>
      </w:r>
      <w:r w:rsidR="005715F3">
        <w:t xml:space="preserve">de mogelijke scores op </w:t>
      </w:r>
      <w:r w:rsidR="00F653BF">
        <w:t xml:space="preserve">de </w:t>
      </w:r>
      <w:r w:rsidR="005715F3">
        <w:t xml:space="preserve">zes </w:t>
      </w:r>
      <w:r w:rsidR="00F653BF">
        <w:t>toetsingselementen</w:t>
      </w:r>
      <w:r w:rsidR="005715F3">
        <w:t>.</w:t>
      </w:r>
    </w:p>
    <w:p w:rsidR="005715F3" w:rsidRDefault="005715F3" w:rsidP="00F90D70"/>
    <w:p w:rsidR="005715F3" w:rsidRDefault="00B109A2" w:rsidP="00F90D70">
      <w:r w:rsidRPr="00B109A2">
        <w:rPr>
          <w:noProof/>
          <w:lang w:eastAsia="nl-NL"/>
        </w:rPr>
        <w:lastRenderedPageBreak/>
        <w:drawing>
          <wp:inline distT="0" distB="0" distL="0" distR="0" wp14:anchorId="51DF8386" wp14:editId="06C58D64">
            <wp:extent cx="5839460" cy="298094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9637" cy="2991244"/>
                    </a:xfrm>
                    <a:prstGeom prst="rect">
                      <a:avLst/>
                    </a:prstGeom>
                    <a:noFill/>
                    <a:ln>
                      <a:noFill/>
                    </a:ln>
                  </pic:spPr>
                </pic:pic>
              </a:graphicData>
            </a:graphic>
          </wp:inline>
        </w:drawing>
      </w:r>
    </w:p>
    <w:p w:rsidR="00046FEB" w:rsidRDefault="00046FEB" w:rsidP="006958C2"/>
    <w:p w:rsidR="006958C2" w:rsidRDefault="00CC20E7" w:rsidP="006958C2">
      <w:r>
        <w:t>Uit</w:t>
      </w:r>
      <w:r w:rsidRPr="00177709">
        <w:t xml:space="preserve"> </w:t>
      </w:r>
      <w:r w:rsidR="00375E95">
        <w:t>het</w:t>
      </w:r>
      <w:r w:rsidR="00177709" w:rsidRPr="00177709">
        <w:t xml:space="preserve"> onderzoek is gebleken dat er verschillen bestaan tussen de scores van de </w:t>
      </w:r>
      <w:r w:rsidR="00A43839">
        <w:t xml:space="preserve">onderzochte </w:t>
      </w:r>
      <w:r w:rsidR="00C5653C">
        <w:t>betaaldienstverleners</w:t>
      </w:r>
      <w:r w:rsidR="001F0E36">
        <w:t xml:space="preserve"> </w:t>
      </w:r>
      <w:r w:rsidR="00177709" w:rsidRPr="00177709">
        <w:t>op alle zes</w:t>
      </w:r>
      <w:r w:rsidR="00F653BF">
        <w:t xml:space="preserve"> toetsings</w:t>
      </w:r>
      <w:r w:rsidR="00177709" w:rsidRPr="00177709">
        <w:t>e</w:t>
      </w:r>
      <w:r w:rsidR="00F653BF">
        <w:t>lemente</w:t>
      </w:r>
      <w:r w:rsidR="00177709" w:rsidRPr="00177709">
        <w:t>n. In hoofdstuk 3 hier</w:t>
      </w:r>
      <w:r w:rsidR="005E39DE">
        <w:t>na</w:t>
      </w:r>
      <w:r w:rsidR="00177709" w:rsidRPr="00177709">
        <w:t xml:space="preserve"> leest u per </w:t>
      </w:r>
      <w:r w:rsidR="00F653BF">
        <w:t>toetsingselement</w:t>
      </w:r>
      <w:r w:rsidR="00177709" w:rsidRPr="00177709">
        <w:t xml:space="preserve"> </w:t>
      </w:r>
      <w:r w:rsidR="00B46D02">
        <w:t xml:space="preserve">onze </w:t>
      </w:r>
      <w:r w:rsidR="00F653BF">
        <w:t xml:space="preserve">uitkomsten </w:t>
      </w:r>
      <w:r w:rsidR="006958C2">
        <w:t xml:space="preserve">en </w:t>
      </w:r>
      <w:r w:rsidR="00177709" w:rsidRPr="00177709">
        <w:t>voorbeelden</w:t>
      </w:r>
      <w:r w:rsidR="006958C2">
        <w:t xml:space="preserve"> (goede en minder goede voorbeelden van de invulling van de norm)</w:t>
      </w:r>
      <w:r w:rsidR="00B46D02">
        <w:t>. De</w:t>
      </w:r>
      <w:r w:rsidR="005E39DE">
        <w:t xml:space="preserve"> goede voorbeelden</w:t>
      </w:r>
      <w:r w:rsidR="00177709" w:rsidRPr="00177709">
        <w:t xml:space="preserve"> illustreren hoe een </w:t>
      </w:r>
      <w:r w:rsidR="003E2714">
        <w:t>betaaldienstverlener</w:t>
      </w:r>
      <w:r w:rsidR="00177709" w:rsidRPr="00177709">
        <w:t xml:space="preserve"> erin geslaagd is om </w:t>
      </w:r>
      <w:r w:rsidR="00A43839">
        <w:t xml:space="preserve">op </w:t>
      </w:r>
      <w:r w:rsidR="00177709" w:rsidRPr="00177709">
        <w:t xml:space="preserve">dat gebied een gele of groene score te halen. </w:t>
      </w:r>
    </w:p>
    <w:p w:rsidR="006958C2" w:rsidRDefault="006958C2" w:rsidP="006958C2"/>
    <w:p w:rsidR="006958C2" w:rsidRDefault="00197702" w:rsidP="006958C2">
      <w:pPr>
        <w:pStyle w:val="Kop1"/>
      </w:pPr>
      <w:bookmarkStart w:id="14" w:name="_Toc483922732"/>
      <w:r>
        <w:t>Guidance</w:t>
      </w:r>
      <w:bookmarkEnd w:id="14"/>
    </w:p>
    <w:p w:rsidR="0022249A" w:rsidRDefault="006958C2" w:rsidP="00B67AC3">
      <w:pPr>
        <w:pStyle w:val="Kop2"/>
      </w:pPr>
      <w:bookmarkStart w:id="15" w:name="_Toc479794862"/>
      <w:bookmarkStart w:id="16" w:name="_Toc479794931"/>
      <w:bookmarkStart w:id="17" w:name="_Toc483922733"/>
      <w:bookmarkEnd w:id="15"/>
      <w:bookmarkEnd w:id="16"/>
      <w:r>
        <w:t>SIRA</w:t>
      </w:r>
      <w:bookmarkEnd w:id="17"/>
    </w:p>
    <w:p w:rsidR="006958C2" w:rsidRPr="006958C2" w:rsidRDefault="006958C2" w:rsidP="006958C2"/>
    <w:p w:rsidR="00625B46" w:rsidRDefault="00B11126" w:rsidP="00B11126">
      <w:p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Pr>
          <w:szCs w:val="17"/>
        </w:rPr>
        <w:t xml:space="preserve">DNB </w:t>
      </w:r>
      <w:r w:rsidR="005E39DE">
        <w:rPr>
          <w:szCs w:val="17"/>
        </w:rPr>
        <w:t xml:space="preserve">heeft geconstateerd </w:t>
      </w:r>
      <w:r>
        <w:rPr>
          <w:szCs w:val="17"/>
        </w:rPr>
        <w:t xml:space="preserve">dat </w:t>
      </w:r>
      <w:r w:rsidR="009554B0">
        <w:rPr>
          <w:szCs w:val="17"/>
        </w:rPr>
        <w:t xml:space="preserve">geen van de </w:t>
      </w:r>
      <w:r>
        <w:rPr>
          <w:szCs w:val="17"/>
        </w:rPr>
        <w:t xml:space="preserve">onderzochte </w:t>
      </w:r>
      <w:r w:rsidR="00C5653C">
        <w:rPr>
          <w:szCs w:val="17"/>
        </w:rPr>
        <w:t>betaaldienstverleners</w:t>
      </w:r>
      <w:r>
        <w:rPr>
          <w:szCs w:val="17"/>
        </w:rPr>
        <w:t xml:space="preserve"> hun</w:t>
      </w:r>
      <w:r w:rsidRPr="00D23B71">
        <w:rPr>
          <w:szCs w:val="17"/>
        </w:rPr>
        <w:t xml:space="preserve"> </w:t>
      </w:r>
      <w:r w:rsidR="004F3B38">
        <w:rPr>
          <w:szCs w:val="17"/>
        </w:rPr>
        <w:t>financieel economische criminaliteitsrisico</w:t>
      </w:r>
      <w:r w:rsidR="009554B0">
        <w:rPr>
          <w:szCs w:val="17"/>
        </w:rPr>
        <w:t>’</w:t>
      </w:r>
      <w:r w:rsidR="004F3B38">
        <w:rPr>
          <w:szCs w:val="17"/>
        </w:rPr>
        <w:t xml:space="preserve">s </w:t>
      </w:r>
      <w:r w:rsidR="009554B0">
        <w:rPr>
          <w:szCs w:val="17"/>
        </w:rPr>
        <w:t xml:space="preserve">zoals </w:t>
      </w:r>
      <w:r w:rsidRPr="00D23B71">
        <w:rPr>
          <w:szCs w:val="17"/>
        </w:rPr>
        <w:t xml:space="preserve">die </w:t>
      </w:r>
      <w:r>
        <w:rPr>
          <w:szCs w:val="17"/>
        </w:rPr>
        <w:t xml:space="preserve">uit de </w:t>
      </w:r>
      <w:r w:rsidRPr="00D23B71">
        <w:rPr>
          <w:szCs w:val="17"/>
        </w:rPr>
        <w:t xml:space="preserve">SIRA voortvloeien </w:t>
      </w:r>
      <w:r w:rsidR="00770A66">
        <w:rPr>
          <w:szCs w:val="17"/>
        </w:rPr>
        <w:t xml:space="preserve">voldoende </w:t>
      </w:r>
      <w:r w:rsidRPr="00D23B71">
        <w:rPr>
          <w:szCs w:val="17"/>
        </w:rPr>
        <w:t>doorverta</w:t>
      </w:r>
      <w:r w:rsidR="009554B0">
        <w:rPr>
          <w:szCs w:val="17"/>
        </w:rPr>
        <w:t>a</w:t>
      </w:r>
      <w:r>
        <w:rPr>
          <w:szCs w:val="17"/>
        </w:rPr>
        <w:t>l</w:t>
      </w:r>
      <w:r w:rsidR="009554B0">
        <w:rPr>
          <w:szCs w:val="17"/>
        </w:rPr>
        <w:t>t</w:t>
      </w:r>
      <w:r w:rsidRPr="00D23B71">
        <w:rPr>
          <w:szCs w:val="17"/>
        </w:rPr>
        <w:t xml:space="preserve"> naar het transactiemonitoring</w:t>
      </w:r>
      <w:r>
        <w:rPr>
          <w:szCs w:val="17"/>
        </w:rPr>
        <w:t>s</w:t>
      </w:r>
      <w:r w:rsidRPr="00D23B71">
        <w:rPr>
          <w:szCs w:val="17"/>
        </w:rPr>
        <w:t xml:space="preserve">proces. </w:t>
      </w:r>
    </w:p>
    <w:p w:rsidR="00B11126" w:rsidRDefault="00B11126" w:rsidP="00DB35D0">
      <w:pPr>
        <w:rPr>
          <w:szCs w:val="17"/>
        </w:rPr>
      </w:pPr>
    </w:p>
    <w:p w:rsidR="006958C2" w:rsidRDefault="00B11126" w:rsidP="006958C2">
      <w:r>
        <w:t>DNB verwacht dat een</w:t>
      </w:r>
      <w:r w:rsidR="006958C2" w:rsidRPr="006958C2">
        <w:t xml:space="preserve"> b</w:t>
      </w:r>
      <w:r w:rsidR="008C3540">
        <w:t>etaaldienstverlener</w:t>
      </w:r>
      <w:r w:rsidR="006958C2" w:rsidRPr="006958C2">
        <w:t xml:space="preserve"> borgt dat de uitkomsten van haar SIRA </w:t>
      </w:r>
      <w:r w:rsidR="00A43839">
        <w:t xml:space="preserve">worden </w:t>
      </w:r>
      <w:r w:rsidR="006958C2" w:rsidRPr="006958C2">
        <w:t>doorvertaal</w:t>
      </w:r>
      <w:r w:rsidR="00596465">
        <w:t xml:space="preserve">d </w:t>
      </w:r>
      <w:r w:rsidR="006958C2" w:rsidRPr="006958C2">
        <w:t xml:space="preserve">in haar </w:t>
      </w:r>
      <w:r w:rsidR="006354DE">
        <w:t xml:space="preserve">beleid en procedures omtrent het </w:t>
      </w:r>
      <w:r w:rsidR="006958C2" w:rsidRPr="006958C2">
        <w:t xml:space="preserve">transactiemonitoringsproces. </w:t>
      </w:r>
      <w:r w:rsidR="00CB4859" w:rsidRPr="006B08F3">
        <w:t xml:space="preserve">Uw </w:t>
      </w:r>
      <w:r w:rsidR="00AD20B6">
        <w:t>instelling</w:t>
      </w:r>
      <w:r w:rsidR="00CB4859" w:rsidRPr="006B08F3">
        <w:t xml:space="preserve"> heeft </w:t>
      </w:r>
      <w:r w:rsidR="00596465">
        <w:t xml:space="preserve">immers </w:t>
      </w:r>
      <w:r w:rsidR="00CB4859" w:rsidRPr="006B08F3">
        <w:t xml:space="preserve">te maken met verschillende integriteitrisico’s, die afhankelijk zijn van de aard van uw dienstverlening en uw cliëntenportfolio. </w:t>
      </w:r>
      <w:r w:rsidR="00CB4859">
        <w:t>Integriteitrisico’s worden in de wet omschreven als:</w:t>
      </w:r>
      <w:r w:rsidR="007C2664">
        <w:t xml:space="preserve"> </w:t>
      </w:r>
      <w:r w:rsidR="0056397A" w:rsidRPr="00C5653C">
        <w:t>gevaar voor aantasting van de reputatie of bestaande of toekomstige bedreiging van vermogen of resultaat van een financiële onderneming als gevolg van een ontoereikende naleving van hetgeen bij of krachtens enig wettelijk voorschrift is voorgeschreven</w:t>
      </w:r>
      <w:r w:rsidR="00940AA9">
        <w:t>”</w:t>
      </w:r>
      <w:r w:rsidR="00CB4859" w:rsidRPr="006B08F3">
        <w:rPr>
          <w:sz w:val="12"/>
          <w:szCs w:val="12"/>
        </w:rPr>
        <w:t>.</w:t>
      </w:r>
      <w:r w:rsidR="00CB4859" w:rsidRPr="0018029B">
        <w:rPr>
          <w:rStyle w:val="Voetnootmarkering"/>
          <w:rFonts w:cs="Arial"/>
          <w:szCs w:val="17"/>
        </w:rPr>
        <w:footnoteReference w:id="14"/>
      </w:r>
      <w:r w:rsidR="00CB4859">
        <w:t xml:space="preserve"> Belangrijke integriteitrisico’s voor </w:t>
      </w:r>
      <w:r w:rsidR="00C5653C">
        <w:t>betaaldienstverleners</w:t>
      </w:r>
      <w:r w:rsidR="00CB4859">
        <w:t xml:space="preserve"> zijn </w:t>
      </w:r>
      <w:r w:rsidR="004F3B38">
        <w:t>financieel</w:t>
      </w:r>
      <w:r w:rsidR="00940AA9">
        <w:t>-</w:t>
      </w:r>
      <w:r w:rsidR="004F3B38">
        <w:t xml:space="preserve">economische criminaliteitsrisico’s, te weten </w:t>
      </w:r>
      <w:r w:rsidR="00CB4859">
        <w:t xml:space="preserve">witwassen, financieren van terrorisme, niet-naleving van sancties, corruptie/omkoping en belangenverstrengeling. </w:t>
      </w:r>
      <w:r w:rsidR="00CB4859" w:rsidRPr="006B08F3">
        <w:t xml:space="preserve">Om te waarborgen dat uw </w:t>
      </w:r>
      <w:r w:rsidR="00AD20B6">
        <w:t>instelling</w:t>
      </w:r>
      <w:r w:rsidR="00CB4859" w:rsidRPr="006B08F3">
        <w:t xml:space="preserve"> de integriteitrisico’s adequaat beheerst, heeft de wetgever verschillende verplichtingen opgenomen waaraan moet worden voldaan. Hierbij speelt de SIRA</w:t>
      </w:r>
      <w:r w:rsidR="00CB4859" w:rsidRPr="0018029B">
        <w:rPr>
          <w:rStyle w:val="Voetnootmarkering"/>
          <w:rFonts w:cs="Arial"/>
          <w:szCs w:val="17"/>
        </w:rPr>
        <w:footnoteReference w:id="15"/>
      </w:r>
      <w:r w:rsidR="00CB4859" w:rsidRPr="006B08F3">
        <w:t xml:space="preserve"> een centrale rol. Deze risicoanalyse op organisatieniveau legt de basis voor uw (periodiek te herzien) integriteitbeleid en dient te worden vertaald naar procedures en maatregelen. De </w:t>
      </w:r>
      <w:r w:rsidR="001F0E36">
        <w:t>uitkomsten</w:t>
      </w:r>
      <w:r w:rsidR="001F0E36" w:rsidRPr="006B08F3">
        <w:t xml:space="preserve"> </w:t>
      </w:r>
      <w:r w:rsidR="00CB4859" w:rsidRPr="006B08F3">
        <w:t>van de SIRA moet</w:t>
      </w:r>
      <w:r w:rsidR="001F0E36">
        <w:t>en</w:t>
      </w:r>
      <w:r w:rsidR="00CB4859" w:rsidRPr="006B08F3">
        <w:t xml:space="preserve"> binnen uw hele organisatie leven en moet</w:t>
      </w:r>
      <w:r w:rsidR="001F0E36">
        <w:t>en</w:t>
      </w:r>
      <w:r w:rsidR="00CB4859" w:rsidRPr="006B08F3">
        <w:t xml:space="preserve"> ook terug te vinden zijn in de risicoanalyses op cliëntniveau.</w:t>
      </w:r>
      <w:r w:rsidR="00E749AA">
        <w:t xml:space="preserve"> In </w:t>
      </w:r>
      <w:r w:rsidR="00AD20B6">
        <w:t xml:space="preserve">de </w:t>
      </w:r>
      <w:r w:rsidR="00E749AA">
        <w:t xml:space="preserve">subparagraaf </w:t>
      </w:r>
      <w:r w:rsidR="00940AA9">
        <w:t>hieronder vindt u een voorbeeld</w:t>
      </w:r>
      <w:r w:rsidR="00E749AA">
        <w:t>.</w:t>
      </w:r>
    </w:p>
    <w:p w:rsidR="007B3958" w:rsidRDefault="007B3958" w:rsidP="006958C2"/>
    <w:p w:rsidR="007B3958" w:rsidRDefault="007B3958" w:rsidP="006958C2"/>
    <w:p w:rsidR="007B1AF7" w:rsidRDefault="007B1AF7" w:rsidP="0018029B">
      <w:pPr>
        <w:pStyle w:val="Kop3"/>
      </w:pPr>
      <w:bookmarkStart w:id="18" w:name="_Toc479794864"/>
      <w:bookmarkStart w:id="19" w:name="_Toc479794933"/>
      <w:bookmarkStart w:id="20" w:name="_Toc483922734"/>
      <w:bookmarkEnd w:id="18"/>
      <w:bookmarkEnd w:id="19"/>
      <w:r>
        <w:lastRenderedPageBreak/>
        <w:t>Risicoprofiel: verwacht transactiegedrag</w:t>
      </w:r>
      <w:bookmarkEnd w:id="20"/>
    </w:p>
    <w:p w:rsidR="006958C2" w:rsidRDefault="006958C2" w:rsidP="006958C2"/>
    <w:p w:rsidR="006354DE" w:rsidRDefault="006354DE" w:rsidP="006354DE">
      <w:p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Pr>
          <w:szCs w:val="17"/>
        </w:rPr>
        <w:t xml:space="preserve">DNB constateert dat </w:t>
      </w:r>
      <w:r w:rsidR="00AD20B6">
        <w:rPr>
          <w:szCs w:val="17"/>
        </w:rPr>
        <w:t xml:space="preserve">slechts één van </w:t>
      </w:r>
      <w:r w:rsidR="00CF4267">
        <w:rPr>
          <w:szCs w:val="17"/>
        </w:rPr>
        <w:t xml:space="preserve">de onderzochte </w:t>
      </w:r>
      <w:r w:rsidR="00C5653C">
        <w:rPr>
          <w:szCs w:val="17"/>
        </w:rPr>
        <w:t>betaaldienstverleners</w:t>
      </w:r>
      <w:r>
        <w:rPr>
          <w:szCs w:val="17"/>
        </w:rPr>
        <w:t xml:space="preserve"> bij de bepaling van </w:t>
      </w:r>
      <w:r w:rsidRPr="00470F08">
        <w:rPr>
          <w:szCs w:val="17"/>
        </w:rPr>
        <w:t xml:space="preserve">het risicoprofiel </w:t>
      </w:r>
      <w:r w:rsidR="001F0E36">
        <w:rPr>
          <w:szCs w:val="17"/>
        </w:rPr>
        <w:t xml:space="preserve">van de cliënt </w:t>
      </w:r>
      <w:r w:rsidRPr="00470F08">
        <w:rPr>
          <w:szCs w:val="17"/>
        </w:rPr>
        <w:t xml:space="preserve">het </w:t>
      </w:r>
      <w:r w:rsidRPr="00D23B71">
        <w:rPr>
          <w:szCs w:val="17"/>
        </w:rPr>
        <w:t>verwachte</w:t>
      </w:r>
      <w:r w:rsidRPr="00470F08">
        <w:rPr>
          <w:szCs w:val="17"/>
        </w:rPr>
        <w:t xml:space="preserve"> transactiegedrag van de cliënt</w:t>
      </w:r>
      <w:r>
        <w:rPr>
          <w:szCs w:val="17"/>
        </w:rPr>
        <w:t xml:space="preserve"> meene</w:t>
      </w:r>
      <w:r w:rsidR="00AD20B6">
        <w:rPr>
          <w:szCs w:val="17"/>
        </w:rPr>
        <w:t>emt</w:t>
      </w:r>
      <w:r>
        <w:rPr>
          <w:szCs w:val="17"/>
        </w:rPr>
        <w:t>.</w:t>
      </w:r>
      <w:r w:rsidR="00AD20B6">
        <w:rPr>
          <w:szCs w:val="17"/>
        </w:rPr>
        <w:t xml:space="preserve"> Een aantal van de onderzochte betaaldienstverleners maakt in het geheel geen cliëntrisicoprofiel op.</w:t>
      </w:r>
    </w:p>
    <w:p w:rsidR="007C76B1" w:rsidRDefault="007C76B1" w:rsidP="006958C2"/>
    <w:p w:rsidR="00B109A2" w:rsidRDefault="001F0E36" w:rsidP="006958C2">
      <w:r>
        <w:t xml:space="preserve">Op grond van de </w:t>
      </w:r>
      <w:r w:rsidR="007A35B3">
        <w:t>integriteitswetgeving</w:t>
      </w:r>
      <w:r>
        <w:t xml:space="preserve"> moeten</w:t>
      </w:r>
      <w:r w:rsidR="002245DB">
        <w:t xml:space="preserve"> </w:t>
      </w:r>
      <w:r w:rsidR="00C5653C">
        <w:t>betaaldienstverleners</w:t>
      </w:r>
      <w:r w:rsidR="006958C2" w:rsidRPr="00C00ADD">
        <w:t xml:space="preserve"> </w:t>
      </w:r>
      <w:r>
        <w:t>bij</w:t>
      </w:r>
      <w:r w:rsidR="006958C2" w:rsidRPr="00C00ADD">
        <w:t xml:space="preserve"> het cliëntenonderzoek een risicoprofiel</w:t>
      </w:r>
      <w:r w:rsidR="006958C2">
        <w:t xml:space="preserve"> op</w:t>
      </w:r>
      <w:r w:rsidR="002245DB">
        <w:t>stellen</w:t>
      </w:r>
      <w:r w:rsidR="006958C2">
        <w:t xml:space="preserve"> van </w:t>
      </w:r>
      <w:r w:rsidR="00CF5F50">
        <w:t xml:space="preserve">de </w:t>
      </w:r>
      <w:r w:rsidR="006958C2">
        <w:t>cliënt</w:t>
      </w:r>
      <w:r w:rsidR="006958C2" w:rsidRPr="00C00ADD">
        <w:t>. Hierbi</w:t>
      </w:r>
      <w:r w:rsidR="007B1AF7">
        <w:t>j worden verschillende factoren</w:t>
      </w:r>
      <w:r w:rsidR="006958C2" w:rsidRPr="00C00ADD">
        <w:t xml:space="preserve"> van de cliënt </w:t>
      </w:r>
      <w:r w:rsidR="006354DE">
        <w:t>beoordeel</w:t>
      </w:r>
      <w:r w:rsidR="00F935E4">
        <w:t>d</w:t>
      </w:r>
      <w:r w:rsidR="006958C2" w:rsidRPr="00C00ADD">
        <w:t xml:space="preserve"> (</w:t>
      </w:r>
      <w:r w:rsidR="006958C2">
        <w:t>zoals</w:t>
      </w:r>
      <w:r w:rsidR="006958C2" w:rsidRPr="00C00ADD">
        <w:t xml:space="preserve"> </w:t>
      </w:r>
      <w:r w:rsidR="006354DE">
        <w:t xml:space="preserve">de </w:t>
      </w:r>
      <w:r w:rsidR="006958C2" w:rsidRPr="00C00ADD">
        <w:t>sector</w:t>
      </w:r>
      <w:r w:rsidR="006354DE">
        <w:t>(</w:t>
      </w:r>
      <w:r w:rsidR="006958C2">
        <w:t>en</w:t>
      </w:r>
      <w:r w:rsidR="006354DE">
        <w:t>)</w:t>
      </w:r>
      <w:r w:rsidR="006958C2">
        <w:t xml:space="preserve"> en landen waarin de cliënt actief is</w:t>
      </w:r>
      <w:r w:rsidR="006958C2" w:rsidRPr="00C00ADD">
        <w:t xml:space="preserve">, </w:t>
      </w:r>
      <w:r w:rsidR="006354DE">
        <w:t xml:space="preserve">de bij de </w:t>
      </w:r>
      <w:r w:rsidR="00AD20B6">
        <w:t>betaaldienstverlener</w:t>
      </w:r>
      <w:r w:rsidR="006354DE">
        <w:t xml:space="preserve"> </w:t>
      </w:r>
      <w:r w:rsidR="006958C2">
        <w:t xml:space="preserve">afgenomen </w:t>
      </w:r>
      <w:r w:rsidR="00AD20B6">
        <w:t>betaal</w:t>
      </w:r>
      <w:r w:rsidR="006958C2" w:rsidRPr="00C00ADD">
        <w:t>product</w:t>
      </w:r>
      <w:r w:rsidR="006354DE">
        <w:t>en</w:t>
      </w:r>
      <w:r w:rsidR="006958C2">
        <w:t xml:space="preserve"> en dienst</w:t>
      </w:r>
      <w:r w:rsidR="006958C2" w:rsidRPr="00C00ADD">
        <w:t>en)</w:t>
      </w:r>
      <w:r w:rsidR="006354DE">
        <w:t>. O</w:t>
      </w:r>
      <w:r w:rsidR="006958C2" w:rsidRPr="00C00ADD">
        <w:t xml:space="preserve">p basis hiervan </w:t>
      </w:r>
      <w:r w:rsidR="006354DE">
        <w:t>bepaalt u</w:t>
      </w:r>
      <w:r w:rsidR="006958C2" w:rsidRPr="00C00ADD">
        <w:t xml:space="preserve"> de risicoclassificatie van </w:t>
      </w:r>
      <w:r w:rsidR="006354DE">
        <w:t xml:space="preserve">uw </w:t>
      </w:r>
      <w:r w:rsidR="006958C2" w:rsidRPr="00C00ADD">
        <w:t xml:space="preserve">cliënt. </w:t>
      </w:r>
      <w:r w:rsidR="006958C2">
        <w:t>De r</w:t>
      </w:r>
      <w:r w:rsidR="006958C2" w:rsidRPr="00C00ADD">
        <w:t xml:space="preserve">eview van </w:t>
      </w:r>
      <w:r w:rsidR="006958C2">
        <w:t>de</w:t>
      </w:r>
      <w:r w:rsidR="006958C2" w:rsidRPr="00C00ADD">
        <w:t xml:space="preserve"> cliënt en actualisatie van de cliëntgegevens vindt vervolgens </w:t>
      </w:r>
      <w:r w:rsidR="006958C2">
        <w:t xml:space="preserve">periodiek </w:t>
      </w:r>
      <w:r w:rsidR="00DF3214">
        <w:t>(</w:t>
      </w:r>
      <w:r w:rsidR="00CF5F50">
        <w:t xml:space="preserve">en ook </w:t>
      </w:r>
      <w:r w:rsidR="00DF3214">
        <w:t xml:space="preserve">tussentijds op basis van relevante gebeurtenissen) </w:t>
      </w:r>
      <w:r w:rsidR="006958C2" w:rsidRPr="00C00ADD">
        <w:t>plaats</w:t>
      </w:r>
      <w:r w:rsidR="004D0B30">
        <w:t>; hierbij is de</w:t>
      </w:r>
      <w:r w:rsidR="006958C2" w:rsidRPr="00C00ADD">
        <w:t xml:space="preserve"> risicoclassificatie</w:t>
      </w:r>
      <w:r w:rsidR="004D0B30">
        <w:t xml:space="preserve"> een belangrijk uitgangspunt</w:t>
      </w:r>
      <w:r w:rsidR="006958C2" w:rsidRPr="00C00ADD">
        <w:t xml:space="preserve">. </w:t>
      </w:r>
      <w:r>
        <w:t>D</w:t>
      </w:r>
      <w:r w:rsidR="003A44C9">
        <w:t>eze</w:t>
      </w:r>
      <w:r w:rsidR="006958C2" w:rsidRPr="00C00ADD">
        <w:t xml:space="preserve"> risicoclassificatie van </w:t>
      </w:r>
      <w:r w:rsidR="00CF5F50">
        <w:t>de</w:t>
      </w:r>
      <w:r w:rsidR="00CF5F50" w:rsidRPr="00C00ADD">
        <w:t xml:space="preserve"> </w:t>
      </w:r>
      <w:r w:rsidR="006958C2" w:rsidRPr="00C00ADD">
        <w:t>cliënt</w:t>
      </w:r>
      <w:r w:rsidR="003A44C9">
        <w:t xml:space="preserve"> gebruikt </w:t>
      </w:r>
      <w:r w:rsidR="00DF3214">
        <w:t xml:space="preserve">u </w:t>
      </w:r>
      <w:r>
        <w:t xml:space="preserve">ook </w:t>
      </w:r>
      <w:r w:rsidR="00DF3214">
        <w:t>voor uw</w:t>
      </w:r>
      <w:r w:rsidR="006958C2" w:rsidRPr="00C00ADD">
        <w:t xml:space="preserve"> transactiemonitoring</w:t>
      </w:r>
      <w:r w:rsidR="006958C2">
        <w:t>sproces</w:t>
      </w:r>
      <w:r w:rsidR="006958C2" w:rsidRPr="00C00ADD">
        <w:t xml:space="preserve">. </w:t>
      </w:r>
      <w:r w:rsidR="006958C2">
        <w:t>Wanneer</w:t>
      </w:r>
      <w:r w:rsidR="006958C2" w:rsidRPr="00C00ADD">
        <w:t xml:space="preserve"> cliënten geen risico</w:t>
      </w:r>
      <w:r w:rsidR="006958C2">
        <w:t>classificatie hebben,</w:t>
      </w:r>
      <w:r w:rsidR="006958C2" w:rsidRPr="00C00ADD">
        <w:t xml:space="preserve"> is het niet mogelijk het </w:t>
      </w:r>
      <w:r w:rsidR="006958C2">
        <w:t>transactiemonitoringssysteem</w:t>
      </w:r>
      <w:r w:rsidR="006958C2" w:rsidRPr="00C00ADD">
        <w:t xml:space="preserve"> risicogebaseerd in te richten.</w:t>
      </w:r>
      <w:r w:rsidR="006958C2">
        <w:t xml:space="preserve"> </w:t>
      </w:r>
      <w:r w:rsidR="003A44C9">
        <w:t>Op basis van de kennis over de cli</w:t>
      </w:r>
      <w:r w:rsidR="00C723E7" w:rsidRPr="00C00ADD">
        <w:t>ë</w:t>
      </w:r>
      <w:r w:rsidR="003A44C9">
        <w:t xml:space="preserve">nt, </w:t>
      </w:r>
      <w:r w:rsidR="006958C2">
        <w:t>maakt</w:t>
      </w:r>
      <w:r w:rsidR="003A44C9">
        <w:t xml:space="preserve"> u ook</w:t>
      </w:r>
      <w:r w:rsidR="006958C2">
        <w:t xml:space="preserve"> het verwachte transactie</w:t>
      </w:r>
      <w:r w:rsidR="003A44C9">
        <w:t xml:space="preserve">gedrag </w:t>
      </w:r>
      <w:r w:rsidR="006958C2">
        <w:t xml:space="preserve">inzichtelijk om te zorgen dat de tijdens de duur van </w:t>
      </w:r>
      <w:r>
        <w:t xml:space="preserve">de </w:t>
      </w:r>
      <w:r w:rsidR="006958C2">
        <w:t xml:space="preserve">relatie verrichte transacties overeenkomen met de kennis die </w:t>
      </w:r>
      <w:r>
        <w:t>u</w:t>
      </w:r>
      <w:r w:rsidR="006958C2">
        <w:t xml:space="preserve"> heeft van </w:t>
      </w:r>
      <w:r>
        <w:t>uw</w:t>
      </w:r>
      <w:r w:rsidR="006958C2">
        <w:t xml:space="preserve"> cliënt en </w:t>
      </w:r>
      <w:r>
        <w:t xml:space="preserve">zijn of </w:t>
      </w:r>
      <w:r w:rsidR="006958C2">
        <w:t>haar risicoprofiel.</w:t>
      </w:r>
      <w:r w:rsidR="003A44C9">
        <w:t xml:space="preserve"> </w:t>
      </w:r>
    </w:p>
    <w:p w:rsidR="00B109A2" w:rsidRDefault="00B109A2" w:rsidP="006958C2"/>
    <w:p w:rsidR="006958C2" w:rsidRPr="00C022A0" w:rsidRDefault="003A44C9" w:rsidP="006958C2">
      <w:r w:rsidRPr="00C022A0">
        <w:t>Om het transactiegedrag te bepalen k</w:t>
      </w:r>
      <w:r w:rsidR="00A43839" w:rsidRPr="00C022A0">
        <w:t>u</w:t>
      </w:r>
      <w:r w:rsidRPr="00C022A0">
        <w:t>n</w:t>
      </w:r>
      <w:r w:rsidR="00A43839" w:rsidRPr="00C022A0">
        <w:t>t</w:t>
      </w:r>
      <w:r w:rsidRPr="00C022A0">
        <w:t xml:space="preserve"> u als b</w:t>
      </w:r>
      <w:r w:rsidR="00AD20B6" w:rsidRPr="00C022A0">
        <w:t>etaaldienstverlener</w:t>
      </w:r>
      <w:r w:rsidRPr="00C022A0">
        <w:t xml:space="preserve"> onder meer informatie inwinnen over:</w:t>
      </w:r>
    </w:p>
    <w:p w:rsidR="00AD20B6" w:rsidRPr="00C022A0" w:rsidRDefault="001F0E36" w:rsidP="003A44C9">
      <w:pPr>
        <w:pStyle w:val="Lijstalinea"/>
        <w:widowControl w:val="0"/>
        <w:numPr>
          <w:ilvl w:val="0"/>
          <w:numId w:val="12"/>
        </w:numPr>
        <w:rPr>
          <w:szCs w:val="17"/>
        </w:rPr>
      </w:pPr>
      <w:r w:rsidRPr="00C022A0">
        <w:rPr>
          <w:szCs w:val="17"/>
        </w:rPr>
        <w:t xml:space="preserve">(verwachte) </w:t>
      </w:r>
      <w:r w:rsidR="003A44C9" w:rsidRPr="00C022A0">
        <w:rPr>
          <w:szCs w:val="17"/>
        </w:rPr>
        <w:t xml:space="preserve">inkomende </w:t>
      </w:r>
      <w:r w:rsidR="00AD20B6" w:rsidRPr="00C022A0">
        <w:rPr>
          <w:szCs w:val="17"/>
        </w:rPr>
        <w:t>(</w:t>
      </w:r>
      <w:r w:rsidR="003A44C9" w:rsidRPr="00C022A0">
        <w:rPr>
          <w:szCs w:val="17"/>
        </w:rPr>
        <w:t>en uitgaande</w:t>
      </w:r>
      <w:r w:rsidR="00AD20B6" w:rsidRPr="00C022A0">
        <w:rPr>
          <w:szCs w:val="17"/>
        </w:rPr>
        <w:t>)</w:t>
      </w:r>
      <w:r w:rsidR="003A44C9" w:rsidRPr="00C022A0">
        <w:rPr>
          <w:szCs w:val="17"/>
        </w:rPr>
        <w:t xml:space="preserve"> geldstromen, inclusief volumes</w:t>
      </w:r>
    </w:p>
    <w:p w:rsidR="003A44C9" w:rsidRPr="00C022A0" w:rsidRDefault="00AD20B6" w:rsidP="003A44C9">
      <w:pPr>
        <w:pStyle w:val="Lijstalinea"/>
        <w:widowControl w:val="0"/>
        <w:numPr>
          <w:ilvl w:val="0"/>
          <w:numId w:val="12"/>
        </w:numPr>
        <w:rPr>
          <w:szCs w:val="17"/>
        </w:rPr>
      </w:pPr>
      <w:r w:rsidRPr="00C022A0">
        <w:rPr>
          <w:szCs w:val="17"/>
        </w:rPr>
        <w:t>de</w:t>
      </w:r>
      <w:r w:rsidR="003A44C9" w:rsidRPr="00C022A0">
        <w:rPr>
          <w:szCs w:val="17"/>
        </w:rPr>
        <w:t xml:space="preserve"> landen</w:t>
      </w:r>
      <w:r w:rsidRPr="00C022A0">
        <w:rPr>
          <w:szCs w:val="17"/>
        </w:rPr>
        <w:t xml:space="preserve"> waar de klanten van de cliënt zich bevinden en waar de transacties dus in grote mate vandaan zullen komen</w:t>
      </w:r>
    </w:p>
    <w:p w:rsidR="003A44C9" w:rsidRPr="00C022A0" w:rsidRDefault="003A44C9" w:rsidP="003A44C9">
      <w:pPr>
        <w:pStyle w:val="Lijstalinea"/>
        <w:widowControl w:val="0"/>
        <w:numPr>
          <w:ilvl w:val="0"/>
          <w:numId w:val="12"/>
        </w:numPr>
        <w:rPr>
          <w:szCs w:val="17"/>
        </w:rPr>
      </w:pPr>
      <w:r w:rsidRPr="00C022A0">
        <w:rPr>
          <w:szCs w:val="17"/>
        </w:rPr>
        <w:t>soorten transacties en de mate waarin deze zullen voorkomen (creditcard, girale overboekingen, stortingen, vreemde valuta, et cetera)</w:t>
      </w:r>
    </w:p>
    <w:p w:rsidR="00D341F6" w:rsidRPr="00C022A0" w:rsidRDefault="00D341F6" w:rsidP="003A44C9">
      <w:pPr>
        <w:pStyle w:val="Lijstalinea"/>
        <w:widowControl w:val="0"/>
        <w:numPr>
          <w:ilvl w:val="0"/>
          <w:numId w:val="12"/>
        </w:numPr>
        <w:rPr>
          <w:szCs w:val="17"/>
        </w:rPr>
      </w:pPr>
      <w:r w:rsidRPr="00C022A0">
        <w:rPr>
          <w:color w:val="000000" w:themeColor="text1"/>
          <w:szCs w:val="17"/>
        </w:rPr>
        <w:t>de tijdsintervallen tussen de aankoop en de uitbetaling, refunds of charge backs</w:t>
      </w:r>
    </w:p>
    <w:p w:rsidR="003A44C9" w:rsidRPr="00C022A0" w:rsidRDefault="003A44C9" w:rsidP="006958C2">
      <w:pPr>
        <w:rPr>
          <w:szCs w:val="17"/>
        </w:rPr>
      </w:pPr>
    </w:p>
    <w:p w:rsidR="00AD20B6" w:rsidRPr="00C022A0" w:rsidRDefault="00AD20B6" w:rsidP="00AD20B6">
      <w:r w:rsidRPr="00C022A0">
        <w:t xml:space="preserve">Met het verwachte transactieprofiel van </w:t>
      </w:r>
      <w:r w:rsidR="00757232" w:rsidRPr="00C022A0">
        <w:t xml:space="preserve">een </w:t>
      </w:r>
      <w:r w:rsidRPr="00C022A0">
        <w:t>cliënt kunt u vervolgens zien of de daadwerkelijke transacties</w:t>
      </w:r>
      <w:r w:rsidR="00441C03" w:rsidRPr="00C022A0">
        <w:t xml:space="preserve"> overeenkomen met dat profiel:</w:t>
      </w:r>
    </w:p>
    <w:p w:rsidR="00AD20B6" w:rsidRPr="00C022A0" w:rsidRDefault="00441C03" w:rsidP="00AD20B6">
      <w:pPr>
        <w:pStyle w:val="Lijstalinea"/>
        <w:numPr>
          <w:ilvl w:val="0"/>
          <w:numId w:val="35"/>
        </w:numPr>
      </w:pPr>
      <w:r w:rsidRPr="00C022A0">
        <w:t>komt d</w:t>
      </w:r>
      <w:r w:rsidR="00AD20B6" w:rsidRPr="00C022A0">
        <w:t>e hoogte van de bedragen overeen met het verwachte transactiegedrag</w:t>
      </w:r>
      <w:r w:rsidRPr="00C022A0">
        <w:t>?</w:t>
      </w:r>
    </w:p>
    <w:p w:rsidR="00AD20B6" w:rsidRPr="00C022A0" w:rsidRDefault="00757232" w:rsidP="00AD20B6">
      <w:pPr>
        <w:pStyle w:val="Lijstalinea"/>
        <w:numPr>
          <w:ilvl w:val="0"/>
          <w:numId w:val="35"/>
        </w:numPr>
      </w:pPr>
      <w:r w:rsidRPr="00C022A0">
        <w:t>k</w:t>
      </w:r>
      <w:r w:rsidR="00441C03" w:rsidRPr="00C022A0">
        <w:t>omt d</w:t>
      </w:r>
      <w:r w:rsidR="00AD20B6" w:rsidRPr="00C022A0">
        <w:t>e frequentie van de transacties overeen met het verwachte transactiegedrag</w:t>
      </w:r>
      <w:r w:rsidR="00441C03" w:rsidRPr="00C022A0">
        <w:t>?</w:t>
      </w:r>
    </w:p>
    <w:p w:rsidR="00AD20B6" w:rsidRPr="00C022A0" w:rsidRDefault="00757232" w:rsidP="00AD20B6">
      <w:pPr>
        <w:pStyle w:val="Lijstalinea"/>
        <w:numPr>
          <w:ilvl w:val="0"/>
          <w:numId w:val="35"/>
        </w:numPr>
      </w:pPr>
      <w:r w:rsidRPr="00C022A0">
        <w:t>p</w:t>
      </w:r>
      <w:r w:rsidR="00441C03" w:rsidRPr="00C022A0">
        <w:t>ast h</w:t>
      </w:r>
      <w:r w:rsidR="00AD20B6" w:rsidRPr="00C022A0">
        <w:t xml:space="preserve">et tijdstip waarop de transacties worden uitgevoerd </w:t>
      </w:r>
      <w:r w:rsidR="00441C03" w:rsidRPr="00C022A0">
        <w:t xml:space="preserve">bij </w:t>
      </w:r>
      <w:r w:rsidR="00AD20B6" w:rsidRPr="00C022A0">
        <w:t>het verwachte transactiegedrag</w:t>
      </w:r>
      <w:r w:rsidR="00441C03" w:rsidRPr="00C022A0">
        <w:t>?</w:t>
      </w:r>
    </w:p>
    <w:p w:rsidR="00AD20B6" w:rsidRPr="00C022A0" w:rsidRDefault="00757232" w:rsidP="00AD20B6">
      <w:pPr>
        <w:pStyle w:val="Lijstalinea"/>
        <w:numPr>
          <w:ilvl w:val="0"/>
          <w:numId w:val="35"/>
        </w:numPr>
      </w:pPr>
      <w:r w:rsidRPr="00C022A0">
        <w:t>k</w:t>
      </w:r>
      <w:r w:rsidR="00441C03" w:rsidRPr="00C022A0">
        <w:t>omt h</w:t>
      </w:r>
      <w:r w:rsidR="00AD20B6" w:rsidRPr="00C022A0">
        <w:t>et totale volume aan transacties overeen met het verwachte transactiegedrag</w:t>
      </w:r>
      <w:r w:rsidR="00441C03" w:rsidRPr="00C022A0">
        <w:t>?</w:t>
      </w:r>
    </w:p>
    <w:p w:rsidR="00AD20B6" w:rsidRDefault="00AD20B6" w:rsidP="006958C2">
      <w:pPr>
        <w:rPr>
          <w:szCs w:val="17"/>
        </w:rPr>
      </w:pPr>
    </w:p>
    <w:p w:rsidR="00ED0F64" w:rsidRPr="00C00ADD" w:rsidRDefault="00ED0F64" w:rsidP="00ED0F64">
      <w:pPr>
        <w:rPr>
          <w:szCs w:val="17"/>
        </w:rPr>
      </w:pPr>
      <w:r>
        <w:rPr>
          <w:szCs w:val="17"/>
        </w:rPr>
        <w:t xml:space="preserve">De </w:t>
      </w:r>
      <w:r w:rsidR="00D341F6">
        <w:rPr>
          <w:szCs w:val="17"/>
        </w:rPr>
        <w:t>betaaldienstverlener</w:t>
      </w:r>
      <w:r w:rsidRPr="00C00ADD">
        <w:rPr>
          <w:szCs w:val="17"/>
        </w:rPr>
        <w:t xml:space="preserve"> toetst periodiek of de cliënt nog voldoet aan het risicoprofiel dat is opgesteld bij aanvang van de dienstverlening. </w:t>
      </w:r>
      <w:r w:rsidR="00C5653C">
        <w:rPr>
          <w:szCs w:val="17"/>
        </w:rPr>
        <w:t>Betaaldienstverleners</w:t>
      </w:r>
      <w:r w:rsidRPr="00C00ADD">
        <w:rPr>
          <w:szCs w:val="17"/>
        </w:rPr>
        <w:t xml:space="preserve"> kunnen immers alleen </w:t>
      </w:r>
      <w:r w:rsidR="00401F12">
        <w:rPr>
          <w:szCs w:val="17"/>
        </w:rPr>
        <w:t>o</w:t>
      </w:r>
      <w:r w:rsidRPr="00C00ADD">
        <w:rPr>
          <w:szCs w:val="17"/>
        </w:rPr>
        <w:t xml:space="preserve">ngebruikelijke transacties opmerken als ze een goed beeld hebben van de </w:t>
      </w:r>
      <w:r>
        <w:rPr>
          <w:szCs w:val="17"/>
        </w:rPr>
        <w:t>activiteiten van de</w:t>
      </w:r>
      <w:r w:rsidRPr="00C00ADD">
        <w:rPr>
          <w:szCs w:val="17"/>
        </w:rPr>
        <w:t xml:space="preserve"> cliënt. Indien uit </w:t>
      </w:r>
      <w:r>
        <w:rPr>
          <w:szCs w:val="17"/>
        </w:rPr>
        <w:t xml:space="preserve">specifieke </w:t>
      </w:r>
      <w:r w:rsidRPr="00C00ADD">
        <w:rPr>
          <w:szCs w:val="17"/>
        </w:rPr>
        <w:t>transacties</w:t>
      </w:r>
      <w:r>
        <w:rPr>
          <w:szCs w:val="17"/>
        </w:rPr>
        <w:t xml:space="preserve"> of het transactieverloop op de rekening</w:t>
      </w:r>
      <w:r w:rsidRPr="00C00ADD">
        <w:rPr>
          <w:szCs w:val="17"/>
        </w:rPr>
        <w:t xml:space="preserve"> blijkt dat </w:t>
      </w:r>
      <w:r w:rsidR="003A44C9">
        <w:rPr>
          <w:szCs w:val="17"/>
        </w:rPr>
        <w:t xml:space="preserve">het transactiegedrag van </w:t>
      </w:r>
      <w:r w:rsidRPr="00C00ADD">
        <w:rPr>
          <w:szCs w:val="17"/>
        </w:rPr>
        <w:t xml:space="preserve">de cliënt afwijkt van het </w:t>
      </w:r>
      <w:r>
        <w:rPr>
          <w:szCs w:val="17"/>
        </w:rPr>
        <w:t>risico</w:t>
      </w:r>
      <w:r w:rsidRPr="00C00ADD">
        <w:rPr>
          <w:szCs w:val="17"/>
        </w:rPr>
        <w:t xml:space="preserve">profiel, </w:t>
      </w:r>
      <w:r>
        <w:rPr>
          <w:szCs w:val="17"/>
        </w:rPr>
        <w:t>gaat</w:t>
      </w:r>
      <w:r w:rsidRPr="00C00ADD">
        <w:rPr>
          <w:szCs w:val="17"/>
        </w:rPr>
        <w:t xml:space="preserve"> de </w:t>
      </w:r>
      <w:r w:rsidR="00A83D75">
        <w:rPr>
          <w:szCs w:val="17"/>
        </w:rPr>
        <w:t>instelling</w:t>
      </w:r>
      <w:r w:rsidRPr="00C00ADD">
        <w:rPr>
          <w:szCs w:val="17"/>
        </w:rPr>
        <w:t xml:space="preserve"> na </w:t>
      </w:r>
      <w:r>
        <w:rPr>
          <w:szCs w:val="17"/>
        </w:rPr>
        <w:t xml:space="preserve">of </w:t>
      </w:r>
      <w:r w:rsidR="003A44C9">
        <w:rPr>
          <w:szCs w:val="17"/>
        </w:rPr>
        <w:t xml:space="preserve">mogelijk sprake is van ongebruikelijke transacties, </w:t>
      </w:r>
      <w:r w:rsidR="00F935E4">
        <w:rPr>
          <w:szCs w:val="17"/>
        </w:rPr>
        <w:t>en</w:t>
      </w:r>
      <w:r w:rsidR="008B1728">
        <w:rPr>
          <w:szCs w:val="17"/>
        </w:rPr>
        <w:t xml:space="preserve"> </w:t>
      </w:r>
      <w:r w:rsidR="003A44C9">
        <w:rPr>
          <w:szCs w:val="17"/>
        </w:rPr>
        <w:t>of verdere acties moeten worden ondernomen, zoals bijvoorbeeld een herbeoordeling van het risicoprofiel</w:t>
      </w:r>
      <w:r w:rsidRPr="00C00ADD">
        <w:rPr>
          <w:szCs w:val="17"/>
        </w:rPr>
        <w:t xml:space="preserve">. </w:t>
      </w:r>
      <w:r w:rsidR="00B6370D">
        <w:rPr>
          <w:szCs w:val="17"/>
        </w:rPr>
        <w:t>Daarbij is e</w:t>
      </w:r>
      <w:r w:rsidRPr="00C00ADD">
        <w:rPr>
          <w:szCs w:val="17"/>
        </w:rPr>
        <w:t xml:space="preserve">en goede samenwerking tussen verschillende personen of afdelingen essentieel. </w:t>
      </w:r>
    </w:p>
    <w:p w:rsidR="00DB35D0" w:rsidRPr="00C00ADD" w:rsidRDefault="00DB35D0" w:rsidP="00DB35D0">
      <w:pPr>
        <w:widowControl w:val="0"/>
        <w:rPr>
          <w:szCs w:val="17"/>
        </w:rPr>
      </w:pPr>
    </w:p>
    <w:p w:rsidR="00D341F6" w:rsidRDefault="00DB35D0" w:rsidP="00DB35D0">
      <w:pPr>
        <w:widowControl w:val="0"/>
        <w:rPr>
          <w:szCs w:val="17"/>
        </w:rPr>
      </w:pPr>
      <w:r w:rsidRPr="00C00ADD">
        <w:rPr>
          <w:szCs w:val="17"/>
        </w:rPr>
        <w:t>Aangezien het verwachte transactie</w:t>
      </w:r>
      <w:r w:rsidR="000F631D">
        <w:rPr>
          <w:szCs w:val="17"/>
        </w:rPr>
        <w:t>gedrag</w:t>
      </w:r>
      <w:r w:rsidRPr="00C00ADD">
        <w:rPr>
          <w:szCs w:val="17"/>
        </w:rPr>
        <w:t xml:space="preserve"> bij aanvang van de zakelijke relatie met de cliënt wordt opgesteld, is de </w:t>
      </w:r>
      <w:r w:rsidR="00D341F6">
        <w:rPr>
          <w:szCs w:val="17"/>
        </w:rPr>
        <w:t>betaaldienstverlener</w:t>
      </w:r>
      <w:r w:rsidRPr="00C00ADD">
        <w:rPr>
          <w:szCs w:val="17"/>
        </w:rPr>
        <w:t xml:space="preserve"> primair afhankelijk van gegevens die door de cliënt over </w:t>
      </w:r>
      <w:r w:rsidR="007924D7">
        <w:rPr>
          <w:szCs w:val="17"/>
        </w:rPr>
        <w:t>de</w:t>
      </w:r>
      <w:r w:rsidRPr="00C00ADD">
        <w:rPr>
          <w:szCs w:val="17"/>
        </w:rPr>
        <w:t xml:space="preserve"> verwachte transacties worden verstrekt. </w:t>
      </w:r>
      <w:r w:rsidR="00A65844">
        <w:rPr>
          <w:szCs w:val="17"/>
        </w:rPr>
        <w:t xml:space="preserve">Verwacht mag worden dat </w:t>
      </w:r>
      <w:r w:rsidR="00C5653C">
        <w:rPr>
          <w:szCs w:val="17"/>
        </w:rPr>
        <w:t>betaaldienstverleners</w:t>
      </w:r>
      <w:r w:rsidR="00A65844">
        <w:rPr>
          <w:szCs w:val="17"/>
        </w:rPr>
        <w:t xml:space="preserve"> na een aantal maanden (bijvoorbeeld na een kwartaal) beoorde</w:t>
      </w:r>
      <w:r w:rsidR="008B1728">
        <w:rPr>
          <w:szCs w:val="17"/>
        </w:rPr>
        <w:t>len</w:t>
      </w:r>
      <w:r w:rsidR="00A65844">
        <w:rPr>
          <w:szCs w:val="17"/>
        </w:rPr>
        <w:t xml:space="preserve"> of het verwachte transactiegedrag (in hoge mate) overeenkomt met de werkelijkheid. </w:t>
      </w:r>
      <w:r w:rsidRPr="00C00ADD">
        <w:rPr>
          <w:szCs w:val="17"/>
        </w:rPr>
        <w:t>Deze informatie kan ter verificatie worden vergeleken met transactiegedrag van cliënten in vergelijkbare sectoren of cliënten met een vergelijkbaar risicoprofiel.</w:t>
      </w:r>
    </w:p>
    <w:p w:rsidR="00D341F6" w:rsidRDefault="00D341F6" w:rsidP="00D341F6"/>
    <w:p w:rsidR="00D341F6" w:rsidRPr="00C022A0" w:rsidRDefault="00D341F6" w:rsidP="00D341F6">
      <w:pPr>
        <w:pBdr>
          <w:top w:val="single" w:sz="4" w:space="1" w:color="auto"/>
          <w:left w:val="single" w:sz="4" w:space="4" w:color="auto"/>
          <w:bottom w:val="single" w:sz="4" w:space="1" w:color="auto"/>
          <w:right w:val="single" w:sz="4" w:space="4" w:color="auto"/>
        </w:pBdr>
        <w:shd w:val="clear" w:color="auto" w:fill="BDD6EE" w:themeFill="accent1" w:themeFillTint="66"/>
        <w:rPr>
          <w:b/>
          <w:color w:val="000000" w:themeColor="text1"/>
        </w:rPr>
      </w:pPr>
      <w:r w:rsidRPr="00C022A0">
        <w:rPr>
          <w:b/>
          <w:color w:val="000000" w:themeColor="text1"/>
        </w:rPr>
        <w:t>Good practice</w:t>
      </w:r>
    </w:p>
    <w:p w:rsidR="00D341F6" w:rsidRPr="00C022A0" w:rsidRDefault="00D341F6" w:rsidP="00D341F6">
      <w:pPr>
        <w:pBdr>
          <w:top w:val="single" w:sz="4" w:space="1" w:color="auto"/>
          <w:left w:val="single" w:sz="4" w:space="4" w:color="auto"/>
          <w:bottom w:val="single" w:sz="4" w:space="1" w:color="auto"/>
          <w:right w:val="single" w:sz="4" w:space="4" w:color="auto"/>
        </w:pBdr>
        <w:shd w:val="clear" w:color="auto" w:fill="BDD6EE" w:themeFill="accent1" w:themeFillTint="66"/>
        <w:rPr>
          <w:color w:val="000000" w:themeColor="text1"/>
        </w:rPr>
      </w:pPr>
      <w:r w:rsidRPr="00C022A0">
        <w:rPr>
          <w:color w:val="000000" w:themeColor="text1"/>
        </w:rPr>
        <w:t xml:space="preserve">Een </w:t>
      </w:r>
      <w:r w:rsidR="003E2714" w:rsidRPr="00C022A0">
        <w:rPr>
          <w:color w:val="000000" w:themeColor="text1"/>
        </w:rPr>
        <w:t>betaaldienstverlener</w:t>
      </w:r>
      <w:r w:rsidRPr="00C022A0">
        <w:rPr>
          <w:color w:val="000000" w:themeColor="text1"/>
        </w:rPr>
        <w:t xml:space="preserve"> deelt haar merchants bij de boarding in peer</w:t>
      </w:r>
      <w:r w:rsidR="00757232" w:rsidRPr="00C022A0">
        <w:rPr>
          <w:color w:val="000000" w:themeColor="text1"/>
        </w:rPr>
        <w:t xml:space="preserve"> </w:t>
      </w:r>
      <w:r w:rsidRPr="00C022A0">
        <w:rPr>
          <w:color w:val="000000" w:themeColor="text1"/>
        </w:rPr>
        <w:t>groups</w:t>
      </w:r>
      <w:r w:rsidR="00757232" w:rsidRPr="00C022A0">
        <w:rPr>
          <w:color w:val="000000" w:themeColor="text1"/>
        </w:rPr>
        <w:t xml:space="preserve"> in</w:t>
      </w:r>
      <w:r w:rsidRPr="00C022A0">
        <w:rPr>
          <w:color w:val="000000" w:themeColor="text1"/>
        </w:rPr>
        <w:t xml:space="preserve">. </w:t>
      </w:r>
      <w:r w:rsidR="007420F1" w:rsidRPr="00C022A0">
        <w:rPr>
          <w:color w:val="000000" w:themeColor="text1"/>
        </w:rPr>
        <w:t xml:space="preserve">Deze groepen worden gevormd aan de hand van bepaalde factoren als </w:t>
      </w:r>
      <w:r w:rsidRPr="00C022A0">
        <w:rPr>
          <w:color w:val="000000" w:themeColor="text1"/>
        </w:rPr>
        <w:t>sectoren</w:t>
      </w:r>
      <w:r w:rsidR="007420F1" w:rsidRPr="00C022A0">
        <w:rPr>
          <w:color w:val="000000" w:themeColor="text1"/>
        </w:rPr>
        <w:t xml:space="preserve"> waarin de merchants actief zijn</w:t>
      </w:r>
      <w:r w:rsidRPr="00C022A0">
        <w:rPr>
          <w:color w:val="000000" w:themeColor="text1"/>
        </w:rPr>
        <w:t xml:space="preserve">. </w:t>
      </w:r>
      <w:r w:rsidR="007420F1" w:rsidRPr="00C022A0">
        <w:rPr>
          <w:color w:val="000000" w:themeColor="text1"/>
        </w:rPr>
        <w:t xml:space="preserve">In het monitoringsproces maakt de instelling gebruik van modellen waardoor de </w:t>
      </w:r>
      <w:r w:rsidR="003E2714" w:rsidRPr="00C022A0">
        <w:rPr>
          <w:color w:val="000000" w:themeColor="text1"/>
        </w:rPr>
        <w:t>betaaldienstverlener</w:t>
      </w:r>
      <w:r w:rsidR="007420F1" w:rsidRPr="00C022A0">
        <w:rPr>
          <w:color w:val="000000" w:themeColor="text1"/>
        </w:rPr>
        <w:t xml:space="preserve"> geautomatiseerd bekijkt </w:t>
      </w:r>
      <w:r w:rsidRPr="00C022A0">
        <w:rPr>
          <w:color w:val="000000" w:themeColor="text1"/>
        </w:rPr>
        <w:t>of het transactiegedrag van de merchant overeen komt met het t</w:t>
      </w:r>
      <w:r w:rsidR="007420F1" w:rsidRPr="00C022A0">
        <w:rPr>
          <w:color w:val="000000" w:themeColor="text1"/>
        </w:rPr>
        <w:t>ransactiegedrag van zijn peers.</w:t>
      </w:r>
    </w:p>
    <w:p w:rsidR="00D341F6" w:rsidRPr="00B91E95" w:rsidRDefault="00D341F6" w:rsidP="00DB35D0">
      <w:pPr>
        <w:widowControl w:val="0"/>
        <w:rPr>
          <w:szCs w:val="17"/>
          <w:highlight w:val="yellow"/>
        </w:rPr>
      </w:pPr>
    </w:p>
    <w:p w:rsidR="001011AE" w:rsidRPr="00B91E95" w:rsidRDefault="001011AE" w:rsidP="00DB35D0">
      <w:pPr>
        <w:widowControl w:val="0"/>
        <w:rPr>
          <w:szCs w:val="17"/>
          <w:highlight w:val="yellow"/>
        </w:rPr>
      </w:pPr>
    </w:p>
    <w:p w:rsidR="005B1058" w:rsidRDefault="001011AE" w:rsidP="005B105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rPr>
          <w:szCs w:val="17"/>
        </w:rPr>
      </w:pPr>
      <w:r w:rsidRPr="00DB41FB">
        <w:rPr>
          <w:szCs w:val="17"/>
        </w:rPr>
        <w:t xml:space="preserve">DNB constateerde dat </w:t>
      </w:r>
      <w:r w:rsidR="00CF4267" w:rsidRPr="00DB41FB">
        <w:rPr>
          <w:szCs w:val="17"/>
        </w:rPr>
        <w:t>de</w:t>
      </w:r>
      <w:r w:rsidR="0052136F" w:rsidRPr="00DB41FB">
        <w:rPr>
          <w:szCs w:val="17"/>
        </w:rPr>
        <w:t xml:space="preserve"> </w:t>
      </w:r>
      <w:r w:rsidR="00CF4267" w:rsidRPr="00DB41FB">
        <w:rPr>
          <w:szCs w:val="17"/>
        </w:rPr>
        <w:t xml:space="preserve">onderzochte </w:t>
      </w:r>
      <w:r w:rsidR="00C5653C" w:rsidRPr="00DB41FB">
        <w:rPr>
          <w:szCs w:val="17"/>
        </w:rPr>
        <w:t>betaaldienstverleners</w:t>
      </w:r>
      <w:r w:rsidRPr="00DB41FB">
        <w:rPr>
          <w:szCs w:val="17"/>
        </w:rPr>
        <w:t xml:space="preserve"> de uitkomsten vanuit hun SIRA</w:t>
      </w:r>
      <w:r w:rsidR="0052136F" w:rsidRPr="00DB41FB">
        <w:rPr>
          <w:szCs w:val="17"/>
        </w:rPr>
        <w:t xml:space="preserve"> niet</w:t>
      </w:r>
      <w:r w:rsidRPr="00DB41FB">
        <w:rPr>
          <w:szCs w:val="17"/>
        </w:rPr>
        <w:t xml:space="preserve"> </w:t>
      </w:r>
      <w:r w:rsidR="008B1728" w:rsidRPr="00B91E95">
        <w:rPr>
          <w:szCs w:val="17"/>
        </w:rPr>
        <w:t xml:space="preserve">hadden </w:t>
      </w:r>
      <w:r w:rsidRPr="00B91E95">
        <w:rPr>
          <w:szCs w:val="17"/>
        </w:rPr>
        <w:t>doorverta</w:t>
      </w:r>
      <w:r w:rsidR="008B1728" w:rsidRPr="00B91E95">
        <w:rPr>
          <w:szCs w:val="17"/>
        </w:rPr>
        <w:t>a</w:t>
      </w:r>
      <w:r w:rsidRPr="00B91E95">
        <w:rPr>
          <w:szCs w:val="17"/>
        </w:rPr>
        <w:t>l</w:t>
      </w:r>
      <w:r w:rsidR="008B1728" w:rsidRPr="00B91E95">
        <w:rPr>
          <w:szCs w:val="17"/>
        </w:rPr>
        <w:t>d</w:t>
      </w:r>
      <w:r w:rsidRPr="00B91E95">
        <w:rPr>
          <w:szCs w:val="17"/>
        </w:rPr>
        <w:t xml:space="preserve"> naar hun transactiemonitoringsproces. </w:t>
      </w:r>
      <w:r w:rsidR="003A44C9" w:rsidRPr="00B91E95">
        <w:rPr>
          <w:szCs w:val="17"/>
        </w:rPr>
        <w:t>DNB constateer</w:t>
      </w:r>
      <w:r w:rsidR="008B1728" w:rsidRPr="00B91E95">
        <w:rPr>
          <w:szCs w:val="17"/>
        </w:rPr>
        <w:t>de</w:t>
      </w:r>
      <w:r w:rsidR="005B1058" w:rsidRPr="00B91E95">
        <w:rPr>
          <w:szCs w:val="17"/>
        </w:rPr>
        <w:t xml:space="preserve"> </w:t>
      </w:r>
      <w:r w:rsidR="00F935E4" w:rsidRPr="00B91E95">
        <w:rPr>
          <w:szCs w:val="17"/>
        </w:rPr>
        <w:t xml:space="preserve">bovendien </w:t>
      </w:r>
      <w:r w:rsidR="005B1058" w:rsidRPr="00B91E95">
        <w:rPr>
          <w:szCs w:val="17"/>
        </w:rPr>
        <w:t xml:space="preserve">dat </w:t>
      </w:r>
      <w:r w:rsidR="007420F1" w:rsidRPr="00B91E95">
        <w:rPr>
          <w:szCs w:val="17"/>
        </w:rPr>
        <w:t xml:space="preserve">indien </w:t>
      </w:r>
      <w:r w:rsidR="00CF4267" w:rsidRPr="00B91E95">
        <w:rPr>
          <w:szCs w:val="17"/>
        </w:rPr>
        <w:t xml:space="preserve">de onderzochte </w:t>
      </w:r>
      <w:r w:rsidR="00C5653C" w:rsidRPr="00B91E95">
        <w:rPr>
          <w:szCs w:val="17"/>
        </w:rPr>
        <w:t>betaaldienstverleners</w:t>
      </w:r>
      <w:r w:rsidR="005B1058" w:rsidRPr="00B91E95">
        <w:rPr>
          <w:szCs w:val="17"/>
        </w:rPr>
        <w:t xml:space="preserve"> in hun SIRA onderscheid ma</w:t>
      </w:r>
      <w:r w:rsidR="008B1728" w:rsidRPr="00B91E95">
        <w:rPr>
          <w:szCs w:val="17"/>
        </w:rPr>
        <w:t>a</w:t>
      </w:r>
      <w:r w:rsidR="005B1058" w:rsidRPr="00B91E95">
        <w:rPr>
          <w:szCs w:val="17"/>
        </w:rPr>
        <w:t>k</w:t>
      </w:r>
      <w:r w:rsidR="008B1728" w:rsidRPr="00B91E95">
        <w:rPr>
          <w:szCs w:val="17"/>
        </w:rPr>
        <w:t>t</w:t>
      </w:r>
      <w:r w:rsidR="005B1058" w:rsidRPr="00B91E95">
        <w:rPr>
          <w:szCs w:val="17"/>
        </w:rPr>
        <w:t>en tussen witwassen en terrorismefinanciering, dit niet</w:t>
      </w:r>
      <w:r w:rsidR="007420F1" w:rsidRPr="00B91E95">
        <w:rPr>
          <w:szCs w:val="17"/>
        </w:rPr>
        <w:t xml:space="preserve"> altijd</w:t>
      </w:r>
      <w:r w:rsidR="005B1058" w:rsidRPr="00B91E95">
        <w:rPr>
          <w:szCs w:val="17"/>
        </w:rPr>
        <w:t xml:space="preserve"> tot uitdrukking </w:t>
      </w:r>
      <w:r w:rsidR="008B1728" w:rsidRPr="00B91E95">
        <w:rPr>
          <w:szCs w:val="17"/>
        </w:rPr>
        <w:t xml:space="preserve">kwam </w:t>
      </w:r>
      <w:r w:rsidR="005B1058" w:rsidRPr="00B91E95">
        <w:rPr>
          <w:szCs w:val="17"/>
        </w:rPr>
        <w:t>in het transactiemonitoringsproces</w:t>
      </w:r>
      <w:r w:rsidRPr="00B91E95">
        <w:rPr>
          <w:szCs w:val="17"/>
        </w:rPr>
        <w:t>. Zo bleek dat</w:t>
      </w:r>
      <w:r w:rsidR="00D341F6" w:rsidRPr="00B91E95">
        <w:rPr>
          <w:szCs w:val="17"/>
        </w:rPr>
        <w:t xml:space="preserve"> een groot gedeelte van de</w:t>
      </w:r>
      <w:r w:rsidRPr="00B91E95">
        <w:rPr>
          <w:szCs w:val="17"/>
        </w:rPr>
        <w:t xml:space="preserve"> </w:t>
      </w:r>
      <w:r w:rsidR="00CF4267" w:rsidRPr="00B91E95">
        <w:rPr>
          <w:szCs w:val="17"/>
        </w:rPr>
        <w:t xml:space="preserve">onderzochte </w:t>
      </w:r>
      <w:r w:rsidR="00C5653C" w:rsidRPr="00B91E95">
        <w:rPr>
          <w:szCs w:val="17"/>
        </w:rPr>
        <w:t>betaaldienstverleners</w:t>
      </w:r>
      <w:r w:rsidRPr="00B91E95">
        <w:rPr>
          <w:szCs w:val="17"/>
        </w:rPr>
        <w:t xml:space="preserve"> nauwelijks aandacht hadden voor </w:t>
      </w:r>
      <w:r w:rsidR="00CF5F50" w:rsidRPr="00B91E95">
        <w:rPr>
          <w:szCs w:val="17"/>
        </w:rPr>
        <w:t>terrorismefinancierings</w:t>
      </w:r>
      <w:r w:rsidRPr="00B91E95">
        <w:rPr>
          <w:szCs w:val="17"/>
        </w:rPr>
        <w:t>scenario’s.</w:t>
      </w:r>
      <w:r>
        <w:rPr>
          <w:szCs w:val="17"/>
        </w:rPr>
        <w:t xml:space="preserve"> </w:t>
      </w:r>
    </w:p>
    <w:p w:rsidR="00D341F6" w:rsidRDefault="00D341F6" w:rsidP="005B105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rPr>
          <w:szCs w:val="17"/>
        </w:rPr>
      </w:pPr>
    </w:p>
    <w:p w:rsidR="00B11126" w:rsidRDefault="00B11126" w:rsidP="00DB35D0">
      <w:pPr>
        <w:widowControl w:val="0"/>
        <w:rPr>
          <w:szCs w:val="17"/>
        </w:rPr>
      </w:pPr>
    </w:p>
    <w:p w:rsidR="00692320" w:rsidRDefault="00692320" w:rsidP="00AE731D">
      <w:pPr>
        <w:pStyle w:val="Kop2"/>
        <w:ind w:left="680" w:hanging="680"/>
      </w:pPr>
      <w:bookmarkStart w:id="21" w:name="_Toc483922735"/>
      <w:r>
        <w:t>Beleid en procedures</w:t>
      </w:r>
      <w:bookmarkEnd w:id="21"/>
    </w:p>
    <w:p w:rsidR="00692320" w:rsidRDefault="008B1728" w:rsidP="00B67AC3">
      <w:pPr>
        <w:tabs>
          <w:tab w:val="left" w:pos="8318"/>
        </w:tabs>
      </w:pPr>
      <w:r>
        <w:tab/>
      </w:r>
    </w:p>
    <w:tbl>
      <w:tblPr>
        <w:tblStyle w:val="Tabelraster"/>
        <w:tblW w:w="8784" w:type="dxa"/>
        <w:shd w:val="clear" w:color="auto" w:fill="BDD6EE" w:themeFill="accent1" w:themeFillTint="66"/>
        <w:tblLook w:val="04A0" w:firstRow="1" w:lastRow="0" w:firstColumn="1" w:lastColumn="0" w:noHBand="0" w:noVBand="1"/>
      </w:tblPr>
      <w:tblGrid>
        <w:gridCol w:w="8784"/>
      </w:tblGrid>
      <w:tr w:rsidR="00692320" w:rsidTr="00B67AC3">
        <w:tc>
          <w:tcPr>
            <w:tcW w:w="87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92320" w:rsidRDefault="00677CC3" w:rsidP="00940AA9">
            <w:pPr>
              <w:pBdr>
                <w:top w:val="single" w:sz="4" w:space="1" w:color="auto"/>
                <w:left w:val="single" w:sz="4" w:space="4" w:color="auto"/>
                <w:bottom w:val="single" w:sz="4" w:space="1" w:color="auto"/>
                <w:right w:val="single" w:sz="4" w:space="4" w:color="auto"/>
              </w:pBdr>
              <w:shd w:val="clear" w:color="auto" w:fill="BDD6EE" w:themeFill="accent1" w:themeFillTint="66"/>
            </w:pPr>
            <w:r>
              <w:rPr>
                <w:szCs w:val="17"/>
              </w:rPr>
              <w:t>Uit het onderzoek is gebleken</w:t>
            </w:r>
            <w:r w:rsidR="005B1058">
              <w:rPr>
                <w:szCs w:val="17"/>
              </w:rPr>
              <w:t xml:space="preserve"> dat </w:t>
            </w:r>
            <w:r w:rsidR="007420F1">
              <w:rPr>
                <w:szCs w:val="17"/>
              </w:rPr>
              <w:t xml:space="preserve">niet alle </w:t>
            </w:r>
            <w:r w:rsidR="00C5653C">
              <w:rPr>
                <w:szCs w:val="17"/>
              </w:rPr>
              <w:t>betaaldienstverleners</w:t>
            </w:r>
            <w:r w:rsidR="005B1058">
              <w:rPr>
                <w:szCs w:val="17"/>
              </w:rPr>
              <w:t xml:space="preserve"> voldoende beleid </w:t>
            </w:r>
            <w:r w:rsidR="005B1058" w:rsidRPr="00D23B71">
              <w:rPr>
                <w:szCs w:val="17"/>
              </w:rPr>
              <w:t xml:space="preserve">voor transactiemonitoring </w:t>
            </w:r>
            <w:r w:rsidR="005B1058">
              <w:rPr>
                <w:szCs w:val="17"/>
              </w:rPr>
              <w:t>hebben</w:t>
            </w:r>
            <w:r w:rsidR="00BB3DC6">
              <w:rPr>
                <w:szCs w:val="17"/>
              </w:rPr>
              <w:t xml:space="preserve"> </w:t>
            </w:r>
            <w:r w:rsidR="005B1058">
              <w:rPr>
                <w:szCs w:val="17"/>
              </w:rPr>
              <w:t xml:space="preserve">en dit </w:t>
            </w:r>
            <w:r w:rsidR="001011AE">
              <w:rPr>
                <w:szCs w:val="17"/>
              </w:rPr>
              <w:t>derhalve ook niet</w:t>
            </w:r>
            <w:r w:rsidR="005B1058">
              <w:rPr>
                <w:szCs w:val="17"/>
              </w:rPr>
              <w:t xml:space="preserve"> h</w:t>
            </w:r>
            <w:r w:rsidR="00940AA9">
              <w:rPr>
                <w:szCs w:val="17"/>
              </w:rPr>
              <w:t>ebben</w:t>
            </w:r>
            <w:r w:rsidR="005B1058">
              <w:rPr>
                <w:szCs w:val="17"/>
              </w:rPr>
              <w:t xml:space="preserve"> </w:t>
            </w:r>
            <w:r w:rsidR="005B1058" w:rsidRPr="00D23B71">
              <w:rPr>
                <w:szCs w:val="17"/>
              </w:rPr>
              <w:t>uitgewerkt in onderliggende procedures en werkprocessen</w:t>
            </w:r>
            <w:r w:rsidR="008B1728">
              <w:rPr>
                <w:szCs w:val="17"/>
              </w:rPr>
              <w:t>.</w:t>
            </w:r>
          </w:p>
        </w:tc>
      </w:tr>
    </w:tbl>
    <w:p w:rsidR="00692320" w:rsidRDefault="00692320" w:rsidP="00470F08"/>
    <w:p w:rsidR="005B1058" w:rsidRDefault="005B1058" w:rsidP="005B1058">
      <w:pPr>
        <w:rPr>
          <w:color w:val="000000" w:themeColor="text1"/>
        </w:rPr>
      </w:pPr>
      <w:r>
        <w:rPr>
          <w:color w:val="000000" w:themeColor="text1"/>
        </w:rPr>
        <w:t xml:space="preserve">Voor het detecteren van (potentieel) ongebruikelijke transactiepatronen of transacties, waarbij mogelijk sprake is van witwassen of terrorismefinanciering, moet een </w:t>
      </w:r>
      <w:r w:rsidR="00213078">
        <w:rPr>
          <w:color w:val="000000" w:themeColor="text1"/>
        </w:rPr>
        <w:t>betaaldienstverlener</w:t>
      </w:r>
      <w:r>
        <w:rPr>
          <w:color w:val="000000" w:themeColor="text1"/>
        </w:rPr>
        <w:t xml:space="preserve"> beschikken over beleid, procedures en processen. Dit is een wettelijk vereiste. </w:t>
      </w:r>
      <w:r w:rsidR="008223A8">
        <w:rPr>
          <w:color w:val="000000" w:themeColor="text1"/>
        </w:rPr>
        <w:t>Om te komen tot effectief</w:t>
      </w:r>
      <w:r w:rsidR="001011AE">
        <w:rPr>
          <w:color w:val="000000" w:themeColor="text1"/>
        </w:rPr>
        <w:t xml:space="preserve"> beleid staat</w:t>
      </w:r>
      <w:r w:rsidR="008223A8">
        <w:rPr>
          <w:color w:val="000000" w:themeColor="text1"/>
        </w:rPr>
        <w:t xml:space="preserve"> hier</w:t>
      </w:r>
      <w:r w:rsidR="001011AE">
        <w:rPr>
          <w:color w:val="000000" w:themeColor="text1"/>
        </w:rPr>
        <w:t xml:space="preserve"> onder andere</w:t>
      </w:r>
      <w:r w:rsidR="008223A8">
        <w:rPr>
          <w:color w:val="000000" w:themeColor="text1"/>
        </w:rPr>
        <w:t xml:space="preserve"> in</w:t>
      </w:r>
      <w:r w:rsidR="001011AE">
        <w:rPr>
          <w:color w:val="000000" w:themeColor="text1"/>
        </w:rPr>
        <w:t xml:space="preserve"> dat een risicobeoordeling en risicoprofiel</w:t>
      </w:r>
      <w:r w:rsidR="009A7666">
        <w:rPr>
          <w:color w:val="000000" w:themeColor="text1"/>
        </w:rPr>
        <w:t xml:space="preserve"> word</w:t>
      </w:r>
      <w:r w:rsidR="00145376">
        <w:rPr>
          <w:color w:val="000000" w:themeColor="text1"/>
        </w:rPr>
        <w:t>en</w:t>
      </w:r>
      <w:r w:rsidR="009A7666">
        <w:rPr>
          <w:color w:val="000000" w:themeColor="text1"/>
        </w:rPr>
        <w:t xml:space="preserve"> gemaakt</w:t>
      </w:r>
      <w:r w:rsidR="001011AE">
        <w:rPr>
          <w:color w:val="000000" w:themeColor="text1"/>
        </w:rPr>
        <w:t xml:space="preserve"> </w:t>
      </w:r>
      <w:r w:rsidR="009A7666">
        <w:rPr>
          <w:color w:val="000000" w:themeColor="text1"/>
        </w:rPr>
        <w:t>van iedere cliënt en dat dat risicoprofiel ook een omschrijving omvat van het verwachte transactiegedrag</w:t>
      </w:r>
      <w:r w:rsidR="008223A8">
        <w:rPr>
          <w:color w:val="000000" w:themeColor="text1"/>
        </w:rPr>
        <w:t xml:space="preserve">: </w:t>
      </w:r>
      <w:r w:rsidR="00D46B5E">
        <w:rPr>
          <w:color w:val="000000" w:themeColor="text1"/>
        </w:rPr>
        <w:t xml:space="preserve">de </w:t>
      </w:r>
      <w:r w:rsidR="00213078">
        <w:rPr>
          <w:color w:val="000000" w:themeColor="text1"/>
        </w:rPr>
        <w:t>instelling</w:t>
      </w:r>
      <w:r w:rsidR="00D46B5E">
        <w:rPr>
          <w:color w:val="000000" w:themeColor="text1"/>
        </w:rPr>
        <w:t xml:space="preserve"> </w:t>
      </w:r>
      <w:r w:rsidR="008223A8">
        <w:rPr>
          <w:color w:val="000000" w:themeColor="text1"/>
        </w:rPr>
        <w:t xml:space="preserve">legt </w:t>
      </w:r>
      <w:r>
        <w:rPr>
          <w:color w:val="000000" w:themeColor="text1"/>
        </w:rPr>
        <w:t>expliciet vast dat een risicoscore en cliënt</w:t>
      </w:r>
      <w:r w:rsidR="00D46B5E">
        <w:rPr>
          <w:color w:val="000000" w:themeColor="text1"/>
        </w:rPr>
        <w:t>risico</w:t>
      </w:r>
      <w:r>
        <w:rPr>
          <w:color w:val="000000" w:themeColor="text1"/>
        </w:rPr>
        <w:t>profiel wordt gemaakt van iedere cliënt, inclusief een omschrijving van de verwachte cliëntactiviteiten en transacties</w:t>
      </w:r>
      <w:r w:rsidR="00213078">
        <w:rPr>
          <w:color w:val="000000" w:themeColor="text1"/>
        </w:rPr>
        <w:t>.</w:t>
      </w:r>
      <w:r w:rsidR="00D37167">
        <w:rPr>
          <w:color w:val="000000" w:themeColor="text1"/>
        </w:rPr>
        <w:t xml:space="preserve"> Vervolgens word</w:t>
      </w:r>
      <w:r w:rsidR="00DB7C5C">
        <w:rPr>
          <w:color w:val="000000" w:themeColor="text1"/>
        </w:rPr>
        <w:t>t</w:t>
      </w:r>
      <w:r w:rsidR="009554B0">
        <w:rPr>
          <w:color w:val="000000" w:themeColor="text1"/>
        </w:rPr>
        <w:t xml:space="preserve"> dit beleid</w:t>
      </w:r>
      <w:r w:rsidR="00D37167">
        <w:rPr>
          <w:color w:val="000000" w:themeColor="text1"/>
        </w:rPr>
        <w:t xml:space="preserve"> in procedures en werkprocessen nader uitgewerkt, met name hoe de orga</w:t>
      </w:r>
      <w:r w:rsidR="007C76B1">
        <w:rPr>
          <w:color w:val="000000" w:themeColor="text1"/>
        </w:rPr>
        <w:t>nisatie en haar medewerkers</w:t>
      </w:r>
      <w:r w:rsidR="009554B0">
        <w:rPr>
          <w:color w:val="000000" w:themeColor="text1"/>
        </w:rPr>
        <w:t xml:space="preserve"> in voorkomende gevallen dienen </w:t>
      </w:r>
      <w:r w:rsidR="00D37167">
        <w:rPr>
          <w:color w:val="000000" w:themeColor="text1"/>
        </w:rPr>
        <w:t xml:space="preserve">te </w:t>
      </w:r>
      <w:r w:rsidR="009554B0">
        <w:rPr>
          <w:color w:val="000000" w:themeColor="text1"/>
        </w:rPr>
        <w:t>handelen</w:t>
      </w:r>
      <w:r w:rsidR="00D37167">
        <w:rPr>
          <w:color w:val="000000" w:themeColor="text1"/>
        </w:rPr>
        <w:t>.</w:t>
      </w:r>
    </w:p>
    <w:p w:rsidR="005B1058" w:rsidRDefault="005B1058" w:rsidP="00692320">
      <w:pPr>
        <w:rPr>
          <w:szCs w:val="17"/>
        </w:rPr>
      </w:pPr>
    </w:p>
    <w:p w:rsidR="005B1058" w:rsidRDefault="009A7666" w:rsidP="00692320">
      <w:r>
        <w:rPr>
          <w:szCs w:val="17"/>
        </w:rPr>
        <w:t>DN</w:t>
      </w:r>
      <w:r w:rsidR="00C723E7">
        <w:rPr>
          <w:szCs w:val="17"/>
        </w:rPr>
        <w:t>B</w:t>
      </w:r>
      <w:r>
        <w:rPr>
          <w:szCs w:val="17"/>
        </w:rPr>
        <w:t xml:space="preserve"> verwacht dat u de uitkomsten van uw SIRA zichtbaar </w:t>
      </w:r>
      <w:r w:rsidR="00B6370D">
        <w:rPr>
          <w:szCs w:val="17"/>
        </w:rPr>
        <w:t>vertaalt</w:t>
      </w:r>
      <w:r>
        <w:rPr>
          <w:szCs w:val="17"/>
        </w:rPr>
        <w:t xml:space="preserve"> naar uw beleid en procedures ten aanzien van uw transactiemonitoringsproces</w:t>
      </w:r>
      <w:r w:rsidR="005B1058" w:rsidRPr="005B1058">
        <w:rPr>
          <w:shd w:val="clear" w:color="auto" w:fill="FFFFFF" w:themeFill="background1"/>
        </w:rPr>
        <w:t xml:space="preserve">. </w:t>
      </w:r>
    </w:p>
    <w:p w:rsidR="002245DB" w:rsidRDefault="002245DB" w:rsidP="00692320"/>
    <w:p w:rsidR="00A43839" w:rsidRPr="00C022A0" w:rsidRDefault="00A43839" w:rsidP="008B3E09">
      <w:pPr>
        <w:pBdr>
          <w:top w:val="single" w:sz="4" w:space="1" w:color="auto"/>
          <w:left w:val="single" w:sz="4" w:space="4" w:color="auto"/>
          <w:bottom w:val="single" w:sz="4" w:space="1" w:color="auto"/>
          <w:right w:val="single" w:sz="4" w:space="4" w:color="auto"/>
        </w:pBdr>
        <w:shd w:val="clear" w:color="auto" w:fill="BDD6EE" w:themeFill="accent1" w:themeFillTint="66"/>
        <w:rPr>
          <w:b/>
          <w:color w:val="000000" w:themeColor="text1"/>
        </w:rPr>
      </w:pPr>
      <w:r w:rsidRPr="00C022A0">
        <w:rPr>
          <w:b/>
          <w:color w:val="000000" w:themeColor="text1"/>
        </w:rPr>
        <w:t>Good practice</w:t>
      </w:r>
    </w:p>
    <w:p w:rsidR="00897AB3" w:rsidRPr="00897AB3" w:rsidRDefault="00757232" w:rsidP="00897AB3">
      <w:pPr>
        <w:pBdr>
          <w:top w:val="single" w:sz="4" w:space="1" w:color="auto"/>
          <w:left w:val="single" w:sz="4" w:space="4" w:color="auto"/>
          <w:bottom w:val="single" w:sz="4" w:space="1" w:color="auto"/>
          <w:right w:val="single" w:sz="4" w:space="4" w:color="auto"/>
        </w:pBdr>
        <w:shd w:val="clear" w:color="auto" w:fill="BDD6EE" w:themeFill="accent1" w:themeFillTint="66"/>
        <w:rPr>
          <w:color w:val="000000" w:themeColor="text1"/>
        </w:rPr>
      </w:pPr>
      <w:r w:rsidRPr="00C022A0">
        <w:rPr>
          <w:color w:val="000000" w:themeColor="text1"/>
        </w:rPr>
        <w:t>Bij e</w:t>
      </w:r>
      <w:r w:rsidR="008B3E09" w:rsidRPr="00C022A0">
        <w:rPr>
          <w:color w:val="000000" w:themeColor="text1"/>
        </w:rPr>
        <w:t xml:space="preserve">en </w:t>
      </w:r>
      <w:r w:rsidR="003E2714" w:rsidRPr="00C022A0">
        <w:rPr>
          <w:color w:val="000000" w:themeColor="text1"/>
        </w:rPr>
        <w:t>betaaldienstverlener</w:t>
      </w:r>
      <w:r w:rsidR="00213078" w:rsidRPr="00C022A0">
        <w:rPr>
          <w:color w:val="000000" w:themeColor="text1"/>
        </w:rPr>
        <w:t xml:space="preserve"> vormen het beleid en de procedures </w:t>
      </w:r>
      <w:r w:rsidR="006325B8" w:rsidRPr="00C022A0">
        <w:rPr>
          <w:color w:val="000000" w:themeColor="text1"/>
        </w:rPr>
        <w:t xml:space="preserve">zichtbaar </w:t>
      </w:r>
      <w:r w:rsidR="00213078" w:rsidRPr="00C022A0">
        <w:rPr>
          <w:color w:val="000000" w:themeColor="text1"/>
        </w:rPr>
        <w:t xml:space="preserve">de basis van het werkproces. Hieruit wordt </w:t>
      </w:r>
      <w:r w:rsidR="009A7666" w:rsidRPr="00C022A0">
        <w:rPr>
          <w:color w:val="000000" w:themeColor="text1"/>
        </w:rPr>
        <w:t>duidelijk</w:t>
      </w:r>
      <w:r w:rsidR="00213078" w:rsidRPr="00C022A0">
        <w:rPr>
          <w:color w:val="000000" w:themeColor="text1"/>
        </w:rPr>
        <w:t xml:space="preserve"> </w:t>
      </w:r>
      <w:r w:rsidR="009A7666" w:rsidRPr="00C022A0">
        <w:rPr>
          <w:color w:val="000000" w:themeColor="text1"/>
        </w:rPr>
        <w:t xml:space="preserve">op welke wijze de </w:t>
      </w:r>
      <w:r w:rsidR="003E2714" w:rsidRPr="00C022A0">
        <w:rPr>
          <w:color w:val="000000" w:themeColor="text1"/>
        </w:rPr>
        <w:t>betaaldienstverlener</w:t>
      </w:r>
      <w:r w:rsidR="009A7666" w:rsidRPr="00C022A0">
        <w:rPr>
          <w:color w:val="000000" w:themeColor="text1"/>
        </w:rPr>
        <w:t xml:space="preserve"> </w:t>
      </w:r>
      <w:r w:rsidR="00DF3214" w:rsidRPr="00C022A0">
        <w:rPr>
          <w:color w:val="000000" w:themeColor="text1"/>
        </w:rPr>
        <w:t xml:space="preserve">operationeel </w:t>
      </w:r>
      <w:r w:rsidR="009A7666" w:rsidRPr="00C022A0">
        <w:rPr>
          <w:color w:val="000000" w:themeColor="text1"/>
        </w:rPr>
        <w:t xml:space="preserve">invulling </w:t>
      </w:r>
      <w:r w:rsidR="00DF3214" w:rsidRPr="00C022A0">
        <w:rPr>
          <w:color w:val="000000" w:themeColor="text1"/>
        </w:rPr>
        <w:t>geeft</w:t>
      </w:r>
      <w:r w:rsidR="009A7666" w:rsidRPr="00C022A0">
        <w:rPr>
          <w:color w:val="000000" w:themeColor="text1"/>
        </w:rPr>
        <w:t xml:space="preserve"> </w:t>
      </w:r>
      <w:r w:rsidR="00DF3214" w:rsidRPr="00C022A0">
        <w:rPr>
          <w:color w:val="000000" w:themeColor="text1"/>
        </w:rPr>
        <w:t>a</w:t>
      </w:r>
      <w:r w:rsidR="009A7666" w:rsidRPr="00C022A0">
        <w:rPr>
          <w:color w:val="000000" w:themeColor="text1"/>
        </w:rPr>
        <w:t>an transactiemonitoring</w:t>
      </w:r>
      <w:r w:rsidR="008B3E09" w:rsidRPr="00C022A0">
        <w:rPr>
          <w:color w:val="000000" w:themeColor="text1"/>
        </w:rPr>
        <w:t>.</w:t>
      </w:r>
      <w:r w:rsidR="009A7666" w:rsidRPr="00C022A0">
        <w:rPr>
          <w:color w:val="000000" w:themeColor="text1"/>
        </w:rPr>
        <w:t xml:space="preserve"> Daarbij k</w:t>
      </w:r>
      <w:r w:rsidR="00E749AA" w:rsidRPr="00C022A0">
        <w:rPr>
          <w:color w:val="000000" w:themeColor="text1"/>
        </w:rPr>
        <w:t>unnen</w:t>
      </w:r>
      <w:r w:rsidR="009A7666" w:rsidRPr="00C022A0">
        <w:rPr>
          <w:color w:val="000000" w:themeColor="text1"/>
        </w:rPr>
        <w:t xml:space="preserve"> de belangrijkste uitkomsten uit de SIRA worden herleid naar haar transactiemonitoringsproces</w:t>
      </w:r>
      <w:r w:rsidR="00DF3214" w:rsidRPr="00C022A0">
        <w:rPr>
          <w:color w:val="000000" w:themeColor="text1"/>
        </w:rPr>
        <w:t>.</w:t>
      </w:r>
      <w:r w:rsidR="00DD47B0" w:rsidRPr="00C022A0">
        <w:rPr>
          <w:color w:val="000000" w:themeColor="text1"/>
        </w:rPr>
        <w:t xml:space="preserve"> </w:t>
      </w:r>
      <w:r w:rsidR="00213078" w:rsidRPr="00C022A0">
        <w:rPr>
          <w:color w:val="000000" w:themeColor="text1"/>
        </w:rPr>
        <w:t>Het volgen van de procedures wordt afgedwongen door functionaliteiten in het systeem.</w:t>
      </w:r>
      <w:bookmarkStart w:id="22" w:name="_Toc479794867"/>
      <w:bookmarkStart w:id="23" w:name="_Toc479794936"/>
      <w:bookmarkStart w:id="24" w:name="_Toc479794868"/>
      <w:bookmarkStart w:id="25" w:name="_Toc479794937"/>
      <w:bookmarkEnd w:id="22"/>
      <w:bookmarkEnd w:id="23"/>
      <w:bookmarkEnd w:id="24"/>
      <w:bookmarkEnd w:id="25"/>
    </w:p>
    <w:p w:rsidR="00C51286" w:rsidRDefault="00DB35D0" w:rsidP="00AE731D">
      <w:pPr>
        <w:pStyle w:val="Kop2"/>
        <w:ind w:left="680" w:hanging="680"/>
      </w:pPr>
      <w:bookmarkStart w:id="26" w:name="_Toc483922736"/>
      <w:r w:rsidRPr="002C3645">
        <w:rPr>
          <w:szCs w:val="17"/>
        </w:rPr>
        <w:t>Het transactiemonitoringssysteem</w:t>
      </w:r>
      <w:bookmarkEnd w:id="26"/>
      <w:r w:rsidR="002C3645">
        <w:rPr>
          <w:szCs w:val="17"/>
        </w:rPr>
        <w:br/>
      </w:r>
    </w:p>
    <w:p w:rsidR="002068E7" w:rsidRDefault="00AE0A7A" w:rsidP="0066733F">
      <w:pPr>
        <w:pBdr>
          <w:top w:val="single" w:sz="4" w:space="1" w:color="auto"/>
          <w:left w:val="single" w:sz="4" w:space="4" w:color="auto"/>
          <w:bottom w:val="single" w:sz="4" w:space="1" w:color="auto"/>
          <w:right w:val="single" w:sz="4" w:space="4" w:color="auto"/>
        </w:pBdr>
        <w:shd w:val="clear" w:color="auto" w:fill="BDD6EE" w:themeFill="accent1" w:themeFillTint="66"/>
      </w:pPr>
      <w:r>
        <w:rPr>
          <w:szCs w:val="17"/>
        </w:rPr>
        <w:t xml:space="preserve">Niet alle onderzochte </w:t>
      </w:r>
      <w:r w:rsidR="003E2714">
        <w:rPr>
          <w:szCs w:val="17"/>
        </w:rPr>
        <w:t>betaaldienstverleners</w:t>
      </w:r>
      <w:r>
        <w:rPr>
          <w:szCs w:val="17"/>
        </w:rPr>
        <w:t xml:space="preserve"> beschikte</w:t>
      </w:r>
      <w:r w:rsidR="00A157F9">
        <w:rPr>
          <w:szCs w:val="17"/>
        </w:rPr>
        <w:t>n</w:t>
      </w:r>
      <w:r>
        <w:rPr>
          <w:szCs w:val="17"/>
        </w:rPr>
        <w:t xml:space="preserve"> over een geautomatiseerd transactiemonitoringssysteem. </w:t>
      </w:r>
      <w:r w:rsidR="00CF4267">
        <w:rPr>
          <w:szCs w:val="17"/>
        </w:rPr>
        <w:t xml:space="preserve">De onderzochte </w:t>
      </w:r>
      <w:r w:rsidR="00C5653C">
        <w:rPr>
          <w:szCs w:val="17"/>
        </w:rPr>
        <w:t>betaaldienstverleners</w:t>
      </w:r>
      <w:r>
        <w:rPr>
          <w:szCs w:val="17"/>
        </w:rPr>
        <w:t xml:space="preserve"> die wel over</w:t>
      </w:r>
      <w:r w:rsidR="00CB3598">
        <w:rPr>
          <w:szCs w:val="17"/>
        </w:rPr>
        <w:t xml:space="preserve"> e</w:t>
      </w:r>
      <w:r w:rsidR="00CB3598" w:rsidRPr="00D23B71">
        <w:rPr>
          <w:szCs w:val="17"/>
        </w:rPr>
        <w:t xml:space="preserve">en </w:t>
      </w:r>
      <w:r w:rsidR="00CB3598">
        <w:rPr>
          <w:szCs w:val="17"/>
        </w:rPr>
        <w:t>geautomatiseerd</w:t>
      </w:r>
      <w:r w:rsidR="00CB3598" w:rsidRPr="00D23B71">
        <w:rPr>
          <w:szCs w:val="17"/>
        </w:rPr>
        <w:t xml:space="preserve"> transactiemonitoringssysteem</w:t>
      </w:r>
      <w:r>
        <w:rPr>
          <w:szCs w:val="17"/>
        </w:rPr>
        <w:t xml:space="preserve"> beschikken</w:t>
      </w:r>
      <w:r w:rsidR="00145376">
        <w:rPr>
          <w:szCs w:val="17"/>
        </w:rPr>
        <w:t xml:space="preserve">, </w:t>
      </w:r>
      <w:r>
        <w:rPr>
          <w:szCs w:val="17"/>
        </w:rPr>
        <w:t>hebben</w:t>
      </w:r>
      <w:r w:rsidR="00CB3598">
        <w:rPr>
          <w:szCs w:val="17"/>
        </w:rPr>
        <w:t xml:space="preserve"> niet </w:t>
      </w:r>
      <w:r w:rsidR="00327E1D">
        <w:rPr>
          <w:szCs w:val="17"/>
        </w:rPr>
        <w:t>allen</w:t>
      </w:r>
      <w:r w:rsidR="00CB3598" w:rsidRPr="00D23B71">
        <w:rPr>
          <w:szCs w:val="17"/>
        </w:rPr>
        <w:t xml:space="preserve"> </w:t>
      </w:r>
      <w:r w:rsidR="00CB3598">
        <w:rPr>
          <w:szCs w:val="17"/>
        </w:rPr>
        <w:t xml:space="preserve">een onderbouwde en toereikende set aan </w:t>
      </w:r>
      <w:r w:rsidR="00CB3598" w:rsidRPr="00D23B71">
        <w:rPr>
          <w:szCs w:val="17"/>
        </w:rPr>
        <w:t>business rules (</w:t>
      </w:r>
      <w:r w:rsidR="00CB3598">
        <w:rPr>
          <w:szCs w:val="17"/>
        </w:rPr>
        <w:t xml:space="preserve">detectieregels met </w:t>
      </w:r>
      <w:r w:rsidR="00CB3598" w:rsidRPr="00D23B71">
        <w:rPr>
          <w:szCs w:val="17"/>
        </w:rPr>
        <w:t xml:space="preserve">scenario’s en </w:t>
      </w:r>
      <w:r w:rsidR="00CB3598">
        <w:rPr>
          <w:szCs w:val="17"/>
        </w:rPr>
        <w:t>grenswaarden) om witwas- en terrorismefinancieringsrisico’s te detecteren.</w:t>
      </w:r>
    </w:p>
    <w:p w:rsidR="0066733F" w:rsidRDefault="0066733F" w:rsidP="002068E7"/>
    <w:p w:rsidR="00CE2DA5" w:rsidRDefault="0066733F" w:rsidP="0066733F">
      <w:pPr>
        <w:shd w:val="clear" w:color="auto" w:fill="FFFFFF" w:themeFill="background1"/>
      </w:pPr>
      <w:r w:rsidRPr="00C022A0">
        <w:t>DNB verwacht dat een</w:t>
      </w:r>
      <w:r w:rsidR="00CD5536" w:rsidRPr="00C022A0">
        <w:t xml:space="preserve"> </w:t>
      </w:r>
      <w:r w:rsidR="003E2714" w:rsidRPr="00C022A0">
        <w:t>betaaldienstverlener</w:t>
      </w:r>
      <w:r w:rsidR="00CD5536" w:rsidRPr="00C022A0">
        <w:t xml:space="preserve"> </w:t>
      </w:r>
      <w:r w:rsidRPr="00C022A0">
        <w:t xml:space="preserve">beschikt over </w:t>
      </w:r>
      <w:r w:rsidR="00CD5536" w:rsidRPr="00C022A0">
        <w:t>een (geautomatiseerd) transactiemonitoringssysteem dat passend is bij haar</w:t>
      </w:r>
      <w:r w:rsidR="000F2D0F" w:rsidRPr="00C022A0">
        <w:t xml:space="preserve"> eigen</w:t>
      </w:r>
      <w:r w:rsidR="00CD5536" w:rsidRPr="00C022A0">
        <w:t xml:space="preserve"> </w:t>
      </w:r>
      <w:r w:rsidRPr="00C022A0">
        <w:t>r</w:t>
      </w:r>
      <w:r w:rsidR="00CD5536" w:rsidRPr="00C022A0">
        <w:t>isicoprofiel.</w:t>
      </w:r>
      <w:r w:rsidR="00EE0B3C" w:rsidRPr="00C022A0">
        <w:t xml:space="preserve"> Bij kleine vrijgestelde</w:t>
      </w:r>
      <w:r w:rsidR="00AE0A7A" w:rsidRPr="00C022A0">
        <w:t xml:space="preserve"> betaaldienstverleners </w:t>
      </w:r>
      <w:r w:rsidR="006325B8" w:rsidRPr="00C022A0">
        <w:t xml:space="preserve">met beperkte volumes qua transacties </w:t>
      </w:r>
      <w:r w:rsidR="00AE0A7A" w:rsidRPr="00C022A0">
        <w:t xml:space="preserve">zal een handmatig transactiemonitoringsysteem </w:t>
      </w:r>
      <w:r w:rsidR="009554B0" w:rsidRPr="00C022A0">
        <w:t xml:space="preserve">vaak </w:t>
      </w:r>
      <w:r w:rsidR="00AE0A7A" w:rsidRPr="00C022A0">
        <w:t>kunnen volstaan.</w:t>
      </w:r>
    </w:p>
    <w:p w:rsidR="00CE2DA5" w:rsidRDefault="00CE2DA5" w:rsidP="0066733F">
      <w:pPr>
        <w:shd w:val="clear" w:color="auto" w:fill="FFFFFF" w:themeFill="background1"/>
      </w:pPr>
    </w:p>
    <w:p w:rsidR="00C74F24" w:rsidRDefault="00C74F24" w:rsidP="0066733F">
      <w:pPr>
        <w:shd w:val="clear" w:color="auto" w:fill="FFFFFF" w:themeFill="background1"/>
        <w:rPr>
          <w:szCs w:val="17"/>
        </w:rPr>
      </w:pPr>
      <w:r w:rsidRPr="004D633B">
        <w:t xml:space="preserve">De vraag of een </w:t>
      </w:r>
      <w:r w:rsidR="00A86482">
        <w:t>b</w:t>
      </w:r>
      <w:r w:rsidR="00AE0A7A">
        <w:t>etaaldienstverlener</w:t>
      </w:r>
      <w:r w:rsidRPr="004D633B">
        <w:t xml:space="preserve"> moet beschikken over een geautomatiseerd systeem voor (post-event) transactiemonitoring, is niet </w:t>
      </w:r>
      <w:r w:rsidRPr="004D633B">
        <w:rPr>
          <w:szCs w:val="17"/>
        </w:rPr>
        <w:t xml:space="preserve">zonder meer met </w:t>
      </w:r>
      <w:r w:rsidRPr="008E3B1C">
        <w:rPr>
          <w:i/>
          <w:szCs w:val="17"/>
        </w:rPr>
        <w:t>ja</w:t>
      </w:r>
      <w:r w:rsidRPr="004D633B">
        <w:rPr>
          <w:szCs w:val="17"/>
        </w:rPr>
        <w:t xml:space="preserve"> of </w:t>
      </w:r>
      <w:r w:rsidRPr="008E3B1C">
        <w:rPr>
          <w:i/>
          <w:szCs w:val="17"/>
        </w:rPr>
        <w:t>nee</w:t>
      </w:r>
      <w:r w:rsidRPr="004D633B">
        <w:rPr>
          <w:szCs w:val="17"/>
        </w:rPr>
        <w:t xml:space="preserve"> te beantwoorden. Om te bepalen op welke</w:t>
      </w:r>
      <w:r>
        <w:rPr>
          <w:szCs w:val="17"/>
        </w:rPr>
        <w:t xml:space="preserve"> wijze een </w:t>
      </w:r>
      <w:r w:rsidR="00AE0A7A">
        <w:rPr>
          <w:szCs w:val="17"/>
        </w:rPr>
        <w:t>instelling</w:t>
      </w:r>
      <w:r w:rsidR="009554B0">
        <w:rPr>
          <w:szCs w:val="17"/>
        </w:rPr>
        <w:t xml:space="preserve"> </w:t>
      </w:r>
      <w:r>
        <w:rPr>
          <w:szCs w:val="17"/>
        </w:rPr>
        <w:t xml:space="preserve">moet </w:t>
      </w:r>
      <w:r w:rsidRPr="00494C3E">
        <w:rPr>
          <w:szCs w:val="17"/>
        </w:rPr>
        <w:t>monitor</w:t>
      </w:r>
      <w:r>
        <w:rPr>
          <w:szCs w:val="17"/>
        </w:rPr>
        <w:t>en, zal</w:t>
      </w:r>
      <w:r w:rsidRPr="00494C3E">
        <w:rPr>
          <w:szCs w:val="17"/>
        </w:rPr>
        <w:t xml:space="preserve"> een afweging </w:t>
      </w:r>
      <w:r>
        <w:rPr>
          <w:szCs w:val="17"/>
        </w:rPr>
        <w:t>gemaakt moeten worden</w:t>
      </w:r>
      <w:r w:rsidRPr="00494C3E">
        <w:rPr>
          <w:szCs w:val="17"/>
        </w:rPr>
        <w:t xml:space="preserve"> tussen kosten, risico</w:t>
      </w:r>
      <w:r w:rsidR="000F2D0F">
        <w:rPr>
          <w:szCs w:val="17"/>
        </w:rPr>
        <w:t>’s</w:t>
      </w:r>
      <w:r w:rsidRPr="00494C3E">
        <w:rPr>
          <w:szCs w:val="17"/>
        </w:rPr>
        <w:t xml:space="preserve"> en</w:t>
      </w:r>
      <w:r w:rsidR="000F2D0F">
        <w:rPr>
          <w:szCs w:val="17"/>
        </w:rPr>
        <w:t xml:space="preserve"> de</w:t>
      </w:r>
      <w:r w:rsidRPr="00494C3E">
        <w:rPr>
          <w:szCs w:val="17"/>
        </w:rPr>
        <w:t xml:space="preserve"> in te zetten methode.</w:t>
      </w:r>
      <w:r>
        <w:rPr>
          <w:szCs w:val="17"/>
        </w:rPr>
        <w:t xml:space="preserve"> Dat hangt sterk af van de aard en omvang van de </w:t>
      </w:r>
      <w:r w:rsidR="0066733F">
        <w:rPr>
          <w:szCs w:val="17"/>
        </w:rPr>
        <w:t>instelling</w:t>
      </w:r>
      <w:r>
        <w:rPr>
          <w:szCs w:val="17"/>
        </w:rPr>
        <w:t>,</w:t>
      </w:r>
      <w:r w:rsidR="00AE0A7A">
        <w:rPr>
          <w:szCs w:val="17"/>
        </w:rPr>
        <w:t xml:space="preserve"> het risicoprofiel van de cliënten</w:t>
      </w:r>
      <w:r>
        <w:rPr>
          <w:szCs w:val="17"/>
        </w:rPr>
        <w:t xml:space="preserve"> </w:t>
      </w:r>
      <w:r w:rsidR="00940AA9">
        <w:rPr>
          <w:szCs w:val="17"/>
        </w:rPr>
        <w:t>en van</w:t>
      </w:r>
      <w:r>
        <w:rPr>
          <w:szCs w:val="17"/>
        </w:rPr>
        <w:t xml:space="preserve"> het aantal transacties dat dagelijks door de instelling wordt uitgevoerd. Van belang is op te merken dat de wetgever niet eist dat transactiemonitoring geautomatiseerd moet gebeuren. </w:t>
      </w:r>
      <w:r w:rsidR="0066733F">
        <w:rPr>
          <w:szCs w:val="17"/>
        </w:rPr>
        <w:t>DNB verwacht dat e</w:t>
      </w:r>
      <w:r w:rsidR="002C3645">
        <w:rPr>
          <w:szCs w:val="17"/>
        </w:rPr>
        <w:t xml:space="preserve">en </w:t>
      </w:r>
      <w:r w:rsidR="003E2714">
        <w:rPr>
          <w:szCs w:val="17"/>
        </w:rPr>
        <w:t>betaaldienstverlener</w:t>
      </w:r>
      <w:r w:rsidR="002C3645">
        <w:rPr>
          <w:szCs w:val="17"/>
        </w:rPr>
        <w:t xml:space="preserve"> </w:t>
      </w:r>
      <w:r w:rsidR="001B3288">
        <w:rPr>
          <w:szCs w:val="17"/>
        </w:rPr>
        <w:t xml:space="preserve">in staat </w:t>
      </w:r>
      <w:r w:rsidR="0066733F">
        <w:rPr>
          <w:szCs w:val="17"/>
        </w:rPr>
        <w:t xml:space="preserve">is </w:t>
      </w:r>
      <w:r w:rsidR="001B3288">
        <w:rPr>
          <w:szCs w:val="17"/>
        </w:rPr>
        <w:t>om</w:t>
      </w:r>
      <w:r w:rsidR="002C3645">
        <w:rPr>
          <w:szCs w:val="17"/>
        </w:rPr>
        <w:t xml:space="preserve"> uit</w:t>
      </w:r>
      <w:r w:rsidR="001B3288">
        <w:rPr>
          <w:szCs w:val="17"/>
        </w:rPr>
        <w:t xml:space="preserve"> te </w:t>
      </w:r>
      <w:r w:rsidR="002C3645">
        <w:rPr>
          <w:szCs w:val="17"/>
        </w:rPr>
        <w:t xml:space="preserve">leggen </w:t>
      </w:r>
      <w:r w:rsidR="009252BA">
        <w:rPr>
          <w:szCs w:val="17"/>
        </w:rPr>
        <w:t>waarom</w:t>
      </w:r>
      <w:r>
        <w:rPr>
          <w:szCs w:val="17"/>
        </w:rPr>
        <w:t xml:space="preserve"> een </w:t>
      </w:r>
      <w:r w:rsidR="00940AA9">
        <w:rPr>
          <w:szCs w:val="17"/>
        </w:rPr>
        <w:t>handmatig</w:t>
      </w:r>
      <w:r>
        <w:rPr>
          <w:szCs w:val="17"/>
        </w:rPr>
        <w:t xml:space="preserve"> </w:t>
      </w:r>
      <w:r w:rsidR="00A65844">
        <w:rPr>
          <w:szCs w:val="17"/>
        </w:rPr>
        <w:t>transactiemonitoringssysteem</w:t>
      </w:r>
      <w:r>
        <w:rPr>
          <w:szCs w:val="17"/>
        </w:rPr>
        <w:t xml:space="preserve"> </w:t>
      </w:r>
      <w:r w:rsidR="002C3645">
        <w:rPr>
          <w:szCs w:val="17"/>
        </w:rPr>
        <w:t>no</w:t>
      </w:r>
      <w:r w:rsidR="00A86482">
        <w:rPr>
          <w:szCs w:val="17"/>
        </w:rPr>
        <w:t>g</w:t>
      </w:r>
      <w:r w:rsidR="002C3645">
        <w:rPr>
          <w:szCs w:val="17"/>
        </w:rPr>
        <w:t xml:space="preserve"> volstaat </w:t>
      </w:r>
      <w:r>
        <w:rPr>
          <w:szCs w:val="17"/>
        </w:rPr>
        <w:t>indien</w:t>
      </w:r>
      <w:r w:rsidR="00AE0A7A">
        <w:rPr>
          <w:szCs w:val="17"/>
        </w:rPr>
        <w:t xml:space="preserve"> zij</w:t>
      </w:r>
      <w:r w:rsidR="002C3645">
        <w:rPr>
          <w:szCs w:val="17"/>
        </w:rPr>
        <w:t xml:space="preserve"> </w:t>
      </w:r>
      <w:r>
        <w:rPr>
          <w:szCs w:val="17"/>
        </w:rPr>
        <w:t>duizenden transacties op een dag verricht.</w:t>
      </w:r>
      <w:r w:rsidR="00F908B2">
        <w:rPr>
          <w:szCs w:val="17"/>
        </w:rPr>
        <w:t xml:space="preserve"> Dat kan bijvoorbeeld </w:t>
      </w:r>
      <w:r w:rsidR="00940AA9">
        <w:rPr>
          <w:szCs w:val="17"/>
        </w:rPr>
        <w:t xml:space="preserve">als </w:t>
      </w:r>
      <w:r w:rsidR="00F908B2">
        <w:rPr>
          <w:szCs w:val="17"/>
        </w:rPr>
        <w:t xml:space="preserve">de </w:t>
      </w:r>
      <w:r w:rsidR="003E2714">
        <w:rPr>
          <w:szCs w:val="17"/>
        </w:rPr>
        <w:t>betaaldienstverlener</w:t>
      </w:r>
      <w:r w:rsidR="00F908B2">
        <w:rPr>
          <w:szCs w:val="17"/>
        </w:rPr>
        <w:t xml:space="preserve"> kan aantonen dat zij beschikt over voldoende geschikte resources om </w:t>
      </w:r>
      <w:r w:rsidR="00940AA9">
        <w:rPr>
          <w:szCs w:val="17"/>
        </w:rPr>
        <w:t>handmatig</w:t>
      </w:r>
      <w:r w:rsidR="00F908B2">
        <w:rPr>
          <w:szCs w:val="17"/>
        </w:rPr>
        <w:t xml:space="preserve"> te monitoren. </w:t>
      </w:r>
    </w:p>
    <w:p w:rsidR="00AE0A7A" w:rsidRDefault="00AE0A7A" w:rsidP="0066733F">
      <w:pPr>
        <w:shd w:val="clear" w:color="auto" w:fill="FFFFFF" w:themeFill="background1"/>
        <w:rPr>
          <w:szCs w:val="17"/>
        </w:rPr>
      </w:pPr>
    </w:p>
    <w:p w:rsidR="00AE0A7A" w:rsidRDefault="00AE0A7A" w:rsidP="00AE0A7A">
      <w:pPr>
        <w:pStyle w:val="Lijstalinea"/>
        <w:ind w:left="0"/>
      </w:pPr>
    </w:p>
    <w:p w:rsidR="00AE0A7A" w:rsidRPr="00C022A0" w:rsidRDefault="00AE0A7A" w:rsidP="00AE0A7A">
      <w:pPr>
        <w:widowControl w:val="0"/>
        <w:pBdr>
          <w:top w:val="single" w:sz="4" w:space="1" w:color="auto"/>
          <w:left w:val="single" w:sz="4" w:space="4" w:color="auto"/>
          <w:bottom w:val="single" w:sz="4" w:space="1" w:color="auto"/>
          <w:right w:val="single" w:sz="4" w:space="4" w:color="auto"/>
        </w:pBdr>
        <w:shd w:val="clear" w:color="auto" w:fill="BDD6EE" w:themeFill="accent1" w:themeFillTint="66"/>
        <w:rPr>
          <w:b/>
          <w:szCs w:val="17"/>
        </w:rPr>
      </w:pPr>
      <w:r w:rsidRPr="00C022A0">
        <w:rPr>
          <w:b/>
          <w:szCs w:val="17"/>
        </w:rPr>
        <w:t>Good practice</w:t>
      </w:r>
    </w:p>
    <w:p w:rsidR="00AE0A7A" w:rsidRPr="00C022A0" w:rsidRDefault="004440EC" w:rsidP="00AE0A7A">
      <w:pPr>
        <w:widowControl w:val="0"/>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sidRPr="00C022A0">
        <w:rPr>
          <w:szCs w:val="17"/>
        </w:rPr>
        <w:t xml:space="preserve">Een </w:t>
      </w:r>
      <w:r w:rsidR="003E2714" w:rsidRPr="00C022A0">
        <w:rPr>
          <w:szCs w:val="17"/>
        </w:rPr>
        <w:t>betaaldienstverlener</w:t>
      </w:r>
      <w:r w:rsidRPr="00C022A0">
        <w:rPr>
          <w:szCs w:val="17"/>
        </w:rPr>
        <w:t xml:space="preserve"> gebruikt een geautomatiseerd zelflerend systeem waarin data vanuit meerdere bronnen (zo</w:t>
      </w:r>
      <w:r w:rsidR="006325B8" w:rsidRPr="00C022A0">
        <w:rPr>
          <w:szCs w:val="17"/>
        </w:rPr>
        <w:t>wel</w:t>
      </w:r>
      <w:r w:rsidRPr="00C022A0">
        <w:rPr>
          <w:szCs w:val="17"/>
        </w:rPr>
        <w:t xml:space="preserve"> open </w:t>
      </w:r>
      <w:r w:rsidR="006325B8" w:rsidRPr="00C022A0">
        <w:rPr>
          <w:szCs w:val="17"/>
        </w:rPr>
        <w:t xml:space="preserve">als gesloten </w:t>
      </w:r>
      <w:r w:rsidRPr="00C022A0">
        <w:rPr>
          <w:szCs w:val="17"/>
        </w:rPr>
        <w:t xml:space="preserve">bronnen) wordt geïmporteerd om (patronen van) transacties te detecteren die mogelijk verband houden met witwassen en terrorismefinanciering. </w:t>
      </w:r>
    </w:p>
    <w:p w:rsidR="00BB3DC6" w:rsidRPr="00C022A0" w:rsidRDefault="00BB3DC6" w:rsidP="00BB3DC6">
      <w:pPr>
        <w:pStyle w:val="Kop3"/>
        <w:ind w:left="680"/>
        <w:rPr>
          <w:szCs w:val="17"/>
        </w:rPr>
      </w:pPr>
      <w:bookmarkStart w:id="27" w:name="_Toc483922737"/>
      <w:r w:rsidRPr="00C022A0">
        <w:rPr>
          <w:szCs w:val="17"/>
        </w:rPr>
        <w:t>Gebruik van red flags/scenario’s</w:t>
      </w:r>
      <w:bookmarkEnd w:id="27"/>
    </w:p>
    <w:p w:rsidR="00BB3DC6" w:rsidRPr="00C022A0" w:rsidRDefault="00BB3DC6" w:rsidP="003E2714">
      <w:pPr>
        <w:spacing w:line="240" w:lineRule="auto"/>
        <w:rPr>
          <w:color w:val="000000" w:themeColor="text1"/>
          <w:szCs w:val="17"/>
        </w:rPr>
      </w:pPr>
      <w:r w:rsidRPr="00C022A0">
        <w:rPr>
          <w:color w:val="000000" w:themeColor="text1"/>
          <w:szCs w:val="17"/>
        </w:rPr>
        <w:t>Aan de hand van de uitkomsten van de SI</w:t>
      </w:r>
      <w:r w:rsidR="00550190">
        <w:rPr>
          <w:color w:val="000000" w:themeColor="text1"/>
          <w:szCs w:val="17"/>
        </w:rPr>
        <w:t>RA dient u als</w:t>
      </w:r>
      <w:r w:rsidRPr="00C022A0">
        <w:rPr>
          <w:color w:val="000000" w:themeColor="text1"/>
          <w:szCs w:val="17"/>
        </w:rPr>
        <w:t xml:space="preserve"> </w:t>
      </w:r>
      <w:r w:rsidR="003E2714" w:rsidRPr="00C022A0">
        <w:rPr>
          <w:color w:val="000000" w:themeColor="text1"/>
          <w:szCs w:val="17"/>
        </w:rPr>
        <w:t>betaaldienstverlener</w:t>
      </w:r>
      <w:r w:rsidRPr="00C022A0">
        <w:rPr>
          <w:color w:val="000000" w:themeColor="text1"/>
          <w:szCs w:val="17"/>
        </w:rPr>
        <w:t xml:space="preserve"> scenario’s/red flags op te stellen om (potentieel) ongebruikelijke transactiepatronen en transacties te kunnen identificeren.</w:t>
      </w:r>
      <w:r w:rsidR="003E2714" w:rsidRPr="00C022A0">
        <w:rPr>
          <w:color w:val="000000" w:themeColor="text1"/>
          <w:szCs w:val="17"/>
        </w:rPr>
        <w:t xml:space="preserve"> Deze scenario’s kunt u gebruiken om </w:t>
      </w:r>
      <w:r w:rsidR="009554B0" w:rsidRPr="00C022A0">
        <w:rPr>
          <w:color w:val="000000" w:themeColor="text1"/>
          <w:szCs w:val="17"/>
        </w:rPr>
        <w:t>business</w:t>
      </w:r>
      <w:r w:rsidR="003E2714" w:rsidRPr="00C022A0">
        <w:rPr>
          <w:color w:val="000000" w:themeColor="text1"/>
          <w:szCs w:val="17"/>
        </w:rPr>
        <w:t xml:space="preserve"> rules op te stellen. </w:t>
      </w:r>
      <w:r w:rsidRPr="00C022A0">
        <w:rPr>
          <w:color w:val="000000" w:themeColor="text1"/>
          <w:szCs w:val="17"/>
        </w:rPr>
        <w:t xml:space="preserve">Aan de hand van onderstaande </w:t>
      </w:r>
      <w:r w:rsidR="003E2714" w:rsidRPr="00C022A0">
        <w:rPr>
          <w:color w:val="000000" w:themeColor="text1"/>
          <w:szCs w:val="17"/>
        </w:rPr>
        <w:t xml:space="preserve">voorbeelden van </w:t>
      </w:r>
      <w:r w:rsidRPr="00C022A0">
        <w:rPr>
          <w:color w:val="000000" w:themeColor="text1"/>
          <w:szCs w:val="17"/>
        </w:rPr>
        <w:t xml:space="preserve">indicatoren zou u deze scenario’s kunnen opstellen: </w:t>
      </w:r>
    </w:p>
    <w:p w:rsidR="003E2714" w:rsidRPr="00C022A0" w:rsidRDefault="00BB3DC6" w:rsidP="004F4051">
      <w:pPr>
        <w:pStyle w:val="Lijstalinea"/>
        <w:numPr>
          <w:ilvl w:val="0"/>
          <w:numId w:val="37"/>
        </w:numPr>
        <w:rPr>
          <w:color w:val="000000" w:themeColor="text1"/>
          <w:szCs w:val="17"/>
        </w:rPr>
      </w:pPr>
      <w:r w:rsidRPr="00C022A0">
        <w:rPr>
          <w:color w:val="000000" w:themeColor="text1"/>
          <w:szCs w:val="17"/>
        </w:rPr>
        <w:t>het tijdstip van de onderliggende transactie(s)</w:t>
      </w:r>
    </w:p>
    <w:p w:rsidR="00BB3DC6" w:rsidRPr="00C022A0" w:rsidRDefault="00BB3DC6" w:rsidP="004F4051">
      <w:pPr>
        <w:pStyle w:val="Lijstalinea"/>
        <w:numPr>
          <w:ilvl w:val="0"/>
          <w:numId w:val="37"/>
        </w:numPr>
        <w:rPr>
          <w:color w:val="000000" w:themeColor="text1"/>
          <w:szCs w:val="17"/>
        </w:rPr>
      </w:pPr>
      <w:r w:rsidRPr="00C022A0">
        <w:rPr>
          <w:color w:val="000000" w:themeColor="text1"/>
          <w:szCs w:val="17"/>
        </w:rPr>
        <w:t xml:space="preserve">de tijdsintervallen tussen de aankoop en de uitbetaling, refunds of charge backs </w:t>
      </w:r>
    </w:p>
    <w:p w:rsidR="00BB3DC6" w:rsidRPr="00C022A0" w:rsidRDefault="00BB3DC6" w:rsidP="00BB3DC6">
      <w:pPr>
        <w:pStyle w:val="Lijstalinea"/>
        <w:numPr>
          <w:ilvl w:val="0"/>
          <w:numId w:val="37"/>
        </w:numPr>
        <w:rPr>
          <w:color w:val="000000" w:themeColor="text1"/>
          <w:szCs w:val="17"/>
        </w:rPr>
      </w:pPr>
      <w:r w:rsidRPr="00C022A0">
        <w:rPr>
          <w:color w:val="000000" w:themeColor="text1"/>
          <w:szCs w:val="17"/>
        </w:rPr>
        <w:t xml:space="preserve">de frequentie en de omvang van refunds en charge backs aan een individuele klant van de merchant </w:t>
      </w:r>
    </w:p>
    <w:p w:rsidR="00BB3DC6" w:rsidRPr="00C022A0" w:rsidRDefault="00BB3DC6" w:rsidP="00BB3DC6">
      <w:pPr>
        <w:pStyle w:val="Lijstalinea"/>
        <w:numPr>
          <w:ilvl w:val="0"/>
          <w:numId w:val="37"/>
        </w:numPr>
        <w:rPr>
          <w:color w:val="000000" w:themeColor="text1"/>
          <w:szCs w:val="17"/>
        </w:rPr>
      </w:pPr>
      <w:r w:rsidRPr="00C022A0">
        <w:rPr>
          <w:color w:val="000000" w:themeColor="text1"/>
          <w:szCs w:val="17"/>
        </w:rPr>
        <w:t xml:space="preserve">de verhouding tussen het initiële aankoopbedrag en het bedrag van uitbetaling, refunds of charge backs </w:t>
      </w:r>
    </w:p>
    <w:p w:rsidR="00BB3DC6" w:rsidRPr="00C022A0" w:rsidRDefault="00BB3DC6" w:rsidP="00BB3DC6">
      <w:pPr>
        <w:pStyle w:val="Lijstalinea"/>
        <w:numPr>
          <w:ilvl w:val="0"/>
          <w:numId w:val="37"/>
        </w:numPr>
        <w:rPr>
          <w:color w:val="000000" w:themeColor="text1"/>
          <w:szCs w:val="17"/>
        </w:rPr>
      </w:pPr>
      <w:r w:rsidRPr="00C022A0">
        <w:rPr>
          <w:color w:val="000000" w:themeColor="text1"/>
          <w:szCs w:val="17"/>
        </w:rPr>
        <w:t xml:space="preserve">het gebruik van verschillende instellingrekening- of creditcardnummers voor de initiële aankoop en de uitbetaling van geld </w:t>
      </w:r>
    </w:p>
    <w:p w:rsidR="00BB3DC6" w:rsidRPr="00C022A0" w:rsidRDefault="00BB3DC6" w:rsidP="00BB3DC6">
      <w:pPr>
        <w:pStyle w:val="Lijstalinea"/>
        <w:numPr>
          <w:ilvl w:val="0"/>
          <w:numId w:val="37"/>
        </w:numPr>
        <w:rPr>
          <w:color w:val="000000" w:themeColor="text1"/>
          <w:szCs w:val="17"/>
        </w:rPr>
      </w:pPr>
      <w:r w:rsidRPr="00C022A0">
        <w:rPr>
          <w:color w:val="000000" w:themeColor="text1"/>
          <w:szCs w:val="17"/>
        </w:rPr>
        <w:t xml:space="preserve">de verhouding tussen spelinleg en speelwinst </w:t>
      </w:r>
    </w:p>
    <w:p w:rsidR="00BB3DC6" w:rsidRPr="00C022A0" w:rsidRDefault="00BB3DC6" w:rsidP="00BB3DC6">
      <w:pPr>
        <w:pStyle w:val="Lijstalinea"/>
        <w:numPr>
          <w:ilvl w:val="0"/>
          <w:numId w:val="37"/>
        </w:numPr>
        <w:rPr>
          <w:color w:val="000000" w:themeColor="text1"/>
          <w:szCs w:val="17"/>
        </w:rPr>
      </w:pPr>
      <w:r w:rsidRPr="00C022A0">
        <w:rPr>
          <w:color w:val="000000" w:themeColor="text1"/>
          <w:szCs w:val="17"/>
        </w:rPr>
        <w:t>de tijdsintervallen tussen het moment van spelinleg en de uitbetaling van de speelwinst</w:t>
      </w:r>
    </w:p>
    <w:p w:rsidR="00BB3DC6" w:rsidRPr="00C022A0" w:rsidRDefault="003E2714" w:rsidP="00BB3DC6">
      <w:pPr>
        <w:pStyle w:val="Lijstalinea"/>
        <w:numPr>
          <w:ilvl w:val="0"/>
          <w:numId w:val="37"/>
        </w:numPr>
        <w:rPr>
          <w:color w:val="000000" w:themeColor="text1"/>
          <w:szCs w:val="17"/>
        </w:rPr>
      </w:pPr>
      <w:r w:rsidRPr="00C022A0">
        <w:rPr>
          <w:color w:val="000000" w:themeColor="text1"/>
          <w:szCs w:val="17"/>
        </w:rPr>
        <w:t xml:space="preserve">het </w:t>
      </w:r>
      <w:r w:rsidR="00BB3DC6" w:rsidRPr="00C022A0">
        <w:rPr>
          <w:color w:val="000000" w:themeColor="text1"/>
          <w:szCs w:val="17"/>
        </w:rPr>
        <w:t>gebruik van veel wisselende IP-adressen</w:t>
      </w:r>
      <w:r w:rsidRPr="00C022A0">
        <w:rPr>
          <w:color w:val="000000" w:themeColor="text1"/>
          <w:szCs w:val="17"/>
        </w:rPr>
        <w:t xml:space="preserve"> van de klant van de merchant</w:t>
      </w:r>
    </w:p>
    <w:p w:rsidR="00BB3DC6" w:rsidRPr="00C022A0" w:rsidRDefault="003E2714" w:rsidP="00BB3DC6">
      <w:pPr>
        <w:pStyle w:val="Lijstalinea"/>
        <w:numPr>
          <w:ilvl w:val="0"/>
          <w:numId w:val="37"/>
        </w:numPr>
        <w:rPr>
          <w:color w:val="000000" w:themeColor="text1"/>
          <w:szCs w:val="17"/>
        </w:rPr>
      </w:pPr>
      <w:r w:rsidRPr="00C022A0">
        <w:rPr>
          <w:color w:val="000000" w:themeColor="text1"/>
          <w:szCs w:val="17"/>
        </w:rPr>
        <w:t>betalingen vanuit</w:t>
      </w:r>
      <w:r w:rsidR="00BB3DC6" w:rsidRPr="00C022A0">
        <w:rPr>
          <w:color w:val="000000" w:themeColor="text1"/>
          <w:szCs w:val="17"/>
        </w:rPr>
        <w:t xml:space="preserve"> IP-adressen uit hoog-risicolanden</w:t>
      </w:r>
    </w:p>
    <w:p w:rsidR="00BB3DC6" w:rsidRPr="00C022A0" w:rsidRDefault="00BB3DC6" w:rsidP="00BB3DC6">
      <w:pPr>
        <w:pStyle w:val="Lijstalinea"/>
        <w:numPr>
          <w:ilvl w:val="0"/>
          <w:numId w:val="37"/>
        </w:numPr>
        <w:rPr>
          <w:color w:val="000000" w:themeColor="text1"/>
          <w:szCs w:val="17"/>
        </w:rPr>
      </w:pPr>
      <w:r w:rsidRPr="00C022A0">
        <w:rPr>
          <w:color w:val="000000" w:themeColor="text1"/>
          <w:szCs w:val="17"/>
        </w:rPr>
        <w:t>het meermalen gebruiken van dezelfde creditcard bij een merchant</w:t>
      </w:r>
    </w:p>
    <w:p w:rsidR="00BB3DC6" w:rsidRPr="00C022A0" w:rsidRDefault="0038161D" w:rsidP="00BB3DC6">
      <w:pPr>
        <w:pStyle w:val="Lijstalinea"/>
        <w:numPr>
          <w:ilvl w:val="0"/>
          <w:numId w:val="37"/>
        </w:numPr>
        <w:rPr>
          <w:color w:val="000000" w:themeColor="text1"/>
          <w:szCs w:val="17"/>
        </w:rPr>
      </w:pPr>
      <w:r>
        <w:rPr>
          <w:color w:val="000000" w:themeColor="text1"/>
          <w:szCs w:val="17"/>
        </w:rPr>
        <w:t>v</w:t>
      </w:r>
      <w:r w:rsidR="00BB3DC6" w:rsidRPr="00C022A0">
        <w:rPr>
          <w:color w:val="000000" w:themeColor="text1"/>
          <w:szCs w:val="17"/>
        </w:rPr>
        <w:t xml:space="preserve">eel betalingen bij een bepaalde merchant met creditcards met hetzelfde BIN-nummer afkomstig van een exotische bank </w:t>
      </w:r>
    </w:p>
    <w:p w:rsidR="00BB3DC6" w:rsidRPr="00C022A0" w:rsidRDefault="00BB3DC6" w:rsidP="00BB3DC6">
      <w:pPr>
        <w:pStyle w:val="Lijstalinea"/>
        <w:numPr>
          <w:ilvl w:val="0"/>
          <w:numId w:val="37"/>
        </w:numPr>
        <w:rPr>
          <w:color w:val="000000" w:themeColor="text1"/>
          <w:szCs w:val="17"/>
        </w:rPr>
      </w:pPr>
      <w:r w:rsidRPr="00C022A0">
        <w:rPr>
          <w:color w:val="000000" w:themeColor="text1"/>
          <w:szCs w:val="17"/>
        </w:rPr>
        <w:t>veranderingen in transactiegedrag die niet verklaarbaar zijn door de activiteiten van de merchant</w:t>
      </w:r>
    </w:p>
    <w:p w:rsidR="00BB3DC6" w:rsidRPr="00C022A0" w:rsidRDefault="00BB3DC6" w:rsidP="00BB3DC6">
      <w:pPr>
        <w:pStyle w:val="Lijstalinea"/>
        <w:numPr>
          <w:ilvl w:val="0"/>
          <w:numId w:val="37"/>
        </w:numPr>
        <w:rPr>
          <w:color w:val="000000" w:themeColor="text1"/>
          <w:szCs w:val="17"/>
        </w:rPr>
      </w:pPr>
      <w:r w:rsidRPr="00C022A0">
        <w:rPr>
          <w:color w:val="000000" w:themeColor="text1"/>
          <w:szCs w:val="17"/>
        </w:rPr>
        <w:t xml:space="preserve">bepaalde merchants die veel betalingen in bitcoins en paypal ontvangen in vergelijking met andere betaalmethoden of in vergelijking met merchants in </w:t>
      </w:r>
      <w:r w:rsidR="0038161D" w:rsidRPr="00C022A0">
        <w:rPr>
          <w:color w:val="000000" w:themeColor="text1"/>
          <w:szCs w:val="17"/>
        </w:rPr>
        <w:t>hetzelfde</w:t>
      </w:r>
      <w:r w:rsidRPr="00C022A0">
        <w:rPr>
          <w:color w:val="000000" w:themeColor="text1"/>
          <w:szCs w:val="17"/>
        </w:rPr>
        <w:t xml:space="preserve"> segment.</w:t>
      </w:r>
    </w:p>
    <w:p w:rsidR="00BB3DC6" w:rsidRPr="00C022A0" w:rsidRDefault="00BB3DC6" w:rsidP="00BB3DC6">
      <w:pPr>
        <w:pStyle w:val="Lijstalinea"/>
        <w:ind w:left="0"/>
        <w:rPr>
          <w:color w:val="000000" w:themeColor="text1"/>
          <w:szCs w:val="17"/>
        </w:rPr>
      </w:pPr>
    </w:p>
    <w:p w:rsidR="00BB3DC6" w:rsidRPr="00897AB3" w:rsidRDefault="00BB3DC6" w:rsidP="00897AB3">
      <w:pPr>
        <w:pStyle w:val="Lijstalinea"/>
        <w:widowControl w:val="0"/>
        <w:ind w:left="0"/>
        <w:rPr>
          <w:b/>
          <w:color w:val="000000" w:themeColor="text1"/>
          <w:szCs w:val="17"/>
        </w:rPr>
      </w:pPr>
      <w:r w:rsidRPr="00C022A0">
        <w:rPr>
          <w:color w:val="000000" w:themeColor="text1"/>
          <w:szCs w:val="17"/>
        </w:rPr>
        <w:t>Voor creditcardtransacties worden in hoofdstuk 8 van de Leidraad Wwft en SW “red flags” genoemd.</w:t>
      </w:r>
    </w:p>
    <w:p w:rsidR="00FE3884" w:rsidRPr="00FE3884" w:rsidRDefault="00FE3884" w:rsidP="00B67AC3">
      <w:pPr>
        <w:pStyle w:val="Kop3"/>
      </w:pPr>
      <w:bookmarkStart w:id="28" w:name="_Toc479794870"/>
      <w:bookmarkStart w:id="29" w:name="_Toc479794939"/>
      <w:bookmarkStart w:id="30" w:name="_Toc483922738"/>
      <w:bookmarkEnd w:id="28"/>
      <w:bookmarkEnd w:id="29"/>
      <w:r>
        <w:t>Gebruik van business rules</w:t>
      </w:r>
      <w:bookmarkEnd w:id="30"/>
    </w:p>
    <w:p w:rsidR="00000C24" w:rsidRDefault="00000C24" w:rsidP="00000C24">
      <w:pPr>
        <w:pStyle w:val="Lijstalinea"/>
        <w:ind w:left="0"/>
      </w:pPr>
      <w:r>
        <w:t xml:space="preserve">Tijdens het onderzoek constateerde </w:t>
      </w:r>
      <w:r w:rsidR="004C1C6F">
        <w:t xml:space="preserve">DNB </w:t>
      </w:r>
      <w:r w:rsidR="007B1AF7">
        <w:t>dat</w:t>
      </w:r>
      <w:r w:rsidR="009252BA">
        <w:t xml:space="preserve"> </w:t>
      </w:r>
      <w:r w:rsidR="00C5653C">
        <w:t>betaaldienstverleners</w:t>
      </w:r>
      <w:r>
        <w:t xml:space="preserve"> niet goed in staat waren een onderbouwing te geven van de gebruikte business rules. </w:t>
      </w:r>
      <w:r w:rsidR="007B1AF7">
        <w:t>Tevens bleek dat</w:t>
      </w:r>
      <w:r w:rsidR="004440EC">
        <w:t xml:space="preserve"> veel</w:t>
      </w:r>
      <w:r>
        <w:t xml:space="preserve"> </w:t>
      </w:r>
      <w:r w:rsidR="00C5653C">
        <w:t>betaaldienstverleners</w:t>
      </w:r>
      <w:r>
        <w:t xml:space="preserve"> beschik</w:t>
      </w:r>
      <w:r w:rsidR="000C0674">
        <w:t>t</w:t>
      </w:r>
      <w:r w:rsidR="007B1AF7">
        <w:t>en</w:t>
      </w:r>
      <w:r>
        <w:t xml:space="preserve"> over een </w:t>
      </w:r>
      <w:r w:rsidR="007B1AF7">
        <w:t xml:space="preserve">te </w:t>
      </w:r>
      <w:r>
        <w:t>beperkt aantal business rules</w:t>
      </w:r>
      <w:r w:rsidR="00446B63">
        <w:t xml:space="preserve"> om ongebruikelijke transacties in relatie tot witwassen of terrorismefinanciering vast te stellen</w:t>
      </w:r>
      <w:r>
        <w:t xml:space="preserve">. </w:t>
      </w:r>
      <w:r w:rsidR="007B1AF7">
        <w:t>DNB</w:t>
      </w:r>
      <w:r>
        <w:t xml:space="preserve"> constateerde v</w:t>
      </w:r>
      <w:r w:rsidR="003358D4">
        <w:t>erder</w:t>
      </w:r>
      <w:r>
        <w:t xml:space="preserve"> dat he</w:t>
      </w:r>
      <w:r w:rsidR="009252BA">
        <w:t>t</w:t>
      </w:r>
      <w:r>
        <w:t xml:space="preserve"> periodieke onderhoud en het testen van de business rules bij </w:t>
      </w:r>
      <w:r w:rsidR="004440EC">
        <w:t>veel</w:t>
      </w:r>
      <w:r>
        <w:t xml:space="preserve"> </w:t>
      </w:r>
      <w:r w:rsidR="009252BA">
        <w:t xml:space="preserve">onderzochte </w:t>
      </w:r>
      <w:r w:rsidR="003E2714">
        <w:t>betaaldienstverleners</w:t>
      </w:r>
      <w:r>
        <w:t xml:space="preserve"> tekortschoot</w:t>
      </w:r>
      <w:r w:rsidR="00446B63">
        <w:t xml:space="preserve"> of zelfs geheel ontbrak</w:t>
      </w:r>
      <w:r>
        <w:t>.</w:t>
      </w:r>
    </w:p>
    <w:p w:rsidR="00000C24" w:rsidRDefault="00000C24" w:rsidP="000978B5">
      <w:pPr>
        <w:pStyle w:val="Lijstalinea"/>
        <w:ind w:left="0"/>
      </w:pPr>
    </w:p>
    <w:p w:rsidR="00940AA9" w:rsidRDefault="000978B5" w:rsidP="000978B5">
      <w:pPr>
        <w:pStyle w:val="Lijstalinea"/>
        <w:ind w:left="0"/>
      </w:pPr>
      <w:r>
        <w:t>Zoals</w:t>
      </w:r>
      <w:r w:rsidR="00AC2B8F">
        <w:t xml:space="preserve"> uiteengezet in </w:t>
      </w:r>
      <w:r w:rsidR="00AC2B8F" w:rsidRPr="00897AB3">
        <w:t>paragraaf 2.1</w:t>
      </w:r>
      <w:r w:rsidRPr="00897AB3">
        <w:t>,</w:t>
      </w:r>
      <w:r>
        <w:t xml:space="preserve"> maakt een </w:t>
      </w:r>
      <w:r w:rsidR="00117398">
        <w:t>betaaldienstverlener</w:t>
      </w:r>
      <w:r>
        <w:t xml:space="preserve"> gebruik van een set aan business rules</w:t>
      </w:r>
      <w:r w:rsidR="00DC5300">
        <w:t xml:space="preserve"> om ongebruikelijke transacties te detecteren</w:t>
      </w:r>
      <w:r>
        <w:t xml:space="preserve">. </w:t>
      </w:r>
      <w:r w:rsidR="00A86482">
        <w:t xml:space="preserve">Met business rules wordt bedoeld </w:t>
      </w:r>
      <w:r w:rsidR="00742B98">
        <w:t>de</w:t>
      </w:r>
      <w:r w:rsidR="00A86482">
        <w:t xml:space="preserve"> set aan detectieregels d</w:t>
      </w:r>
      <w:r w:rsidR="00742B98">
        <w:t>ie</w:t>
      </w:r>
      <w:r w:rsidR="00A86482">
        <w:t xml:space="preserve"> in he</w:t>
      </w:r>
      <w:r w:rsidR="00742B98">
        <w:t>t</w:t>
      </w:r>
      <w:r w:rsidR="00A86482">
        <w:t xml:space="preserve"> transactiemonitoringssysteem word</w:t>
      </w:r>
      <w:r w:rsidR="003358D4">
        <w:t>en</w:t>
      </w:r>
      <w:r w:rsidR="00A86482">
        <w:t xml:space="preserve"> toegepast, </w:t>
      </w:r>
      <w:r w:rsidR="003358D4">
        <w:t xml:space="preserve">die bestaan uit </w:t>
      </w:r>
      <w:r w:rsidR="00A86482">
        <w:t>de toegepaste scenario’s en bepaalde grenswaarden (</w:t>
      </w:r>
      <w:r w:rsidR="00D46B5E">
        <w:t>zoals</w:t>
      </w:r>
      <w:r w:rsidR="0066733F">
        <w:t xml:space="preserve"> bedragen in valuta en aantallen transacties of combinatie</w:t>
      </w:r>
      <w:r w:rsidR="00D46B5E">
        <w:t>s</w:t>
      </w:r>
      <w:r w:rsidR="0066733F">
        <w:t xml:space="preserve"> van bedragen </w:t>
      </w:r>
      <w:r w:rsidR="009E06A5">
        <w:t>en</w:t>
      </w:r>
      <w:r w:rsidR="0066733F">
        <w:t xml:space="preserve"> aantallen transacties)</w:t>
      </w:r>
      <w:r w:rsidR="00A86482">
        <w:t xml:space="preserve">. </w:t>
      </w:r>
      <w:r w:rsidR="00113958">
        <w:t xml:space="preserve">De wijze waarop </w:t>
      </w:r>
      <w:r>
        <w:t>deze business rules zijn</w:t>
      </w:r>
      <w:r w:rsidR="00113958">
        <w:t xml:space="preserve"> bepaald, is essentieel</w:t>
      </w:r>
      <w:r>
        <w:t xml:space="preserve"> voor de effectiviteit van het transactiemonitoringsproces van een </w:t>
      </w:r>
      <w:r w:rsidR="00117398">
        <w:t>instelling</w:t>
      </w:r>
      <w:r>
        <w:t>. D</w:t>
      </w:r>
      <w:r w:rsidR="0066733F">
        <w:t>NB verwacht dat d</w:t>
      </w:r>
      <w:r>
        <w:t xml:space="preserve">e in het transactiemonitoringssysteem opgenomen business rules risicogebaseerd </w:t>
      </w:r>
      <w:r w:rsidR="0066733F">
        <w:t xml:space="preserve">zijn </w:t>
      </w:r>
      <w:r>
        <w:t>opgesteld en herleidbaar</w:t>
      </w:r>
      <w:r w:rsidR="0066733F">
        <w:t xml:space="preserve"> zijn</w:t>
      </w:r>
      <w:r>
        <w:t xml:space="preserve"> </w:t>
      </w:r>
      <w:r w:rsidR="00AC2B8F">
        <w:t>tot</w:t>
      </w:r>
      <w:r>
        <w:t xml:space="preserve"> de uitkomsten van de SIRA.</w:t>
      </w:r>
      <w:r w:rsidR="00FE3884">
        <w:t xml:space="preserve"> </w:t>
      </w:r>
      <w:r>
        <w:t xml:space="preserve">Herleidbaar wil zeggen dat er een verband bestaat tussen de </w:t>
      </w:r>
      <w:r w:rsidR="00364318">
        <w:t xml:space="preserve">business </w:t>
      </w:r>
      <w:r>
        <w:t xml:space="preserve">rules en de </w:t>
      </w:r>
      <w:r w:rsidR="00B6370D">
        <w:t>rest</w:t>
      </w:r>
      <w:r>
        <w:t xml:space="preserve">risico’s zoals deze uit de SIRA volgen. </w:t>
      </w:r>
      <w:r w:rsidR="00FE3884">
        <w:t xml:space="preserve">Bij het opstellen van de business rules </w:t>
      </w:r>
      <w:r w:rsidR="00113958">
        <w:t xml:space="preserve">wordt </w:t>
      </w:r>
      <w:r w:rsidR="00FE3884">
        <w:t xml:space="preserve">rekening gehouden met verschillende </w:t>
      </w:r>
      <w:r w:rsidR="007B1AF7">
        <w:t>factoren</w:t>
      </w:r>
      <w:r w:rsidR="00940AA9">
        <w:t>:</w:t>
      </w:r>
    </w:p>
    <w:p w:rsidR="00940AA9" w:rsidRDefault="007B1AF7" w:rsidP="00C5653C">
      <w:pPr>
        <w:pStyle w:val="Lijstalinea"/>
        <w:numPr>
          <w:ilvl w:val="0"/>
          <w:numId w:val="34"/>
        </w:numPr>
        <w:ind w:left="284" w:hanging="284"/>
      </w:pPr>
      <w:r>
        <w:t xml:space="preserve">het soort cliënt </w:t>
      </w:r>
      <w:r w:rsidR="00940AA9">
        <w:br/>
      </w:r>
      <w:r>
        <w:t xml:space="preserve">bijvoorbeeld een </w:t>
      </w:r>
      <w:r w:rsidR="00FE3884">
        <w:t>PEP</w:t>
      </w:r>
    </w:p>
    <w:p w:rsidR="00940AA9" w:rsidRPr="00C022A0" w:rsidRDefault="00113958" w:rsidP="00C5653C">
      <w:pPr>
        <w:pStyle w:val="Lijstalinea"/>
        <w:numPr>
          <w:ilvl w:val="0"/>
          <w:numId w:val="34"/>
        </w:numPr>
        <w:ind w:left="284" w:hanging="284"/>
      </w:pPr>
      <w:r w:rsidRPr="00C022A0">
        <w:t xml:space="preserve">het </w:t>
      </w:r>
      <w:r w:rsidR="00FE3884" w:rsidRPr="00C022A0">
        <w:t>cli</w:t>
      </w:r>
      <w:r w:rsidR="009252BA" w:rsidRPr="00C022A0">
        <w:t>ë</w:t>
      </w:r>
      <w:r w:rsidR="00FE3884" w:rsidRPr="00C022A0">
        <w:t>ntsegment</w:t>
      </w:r>
      <w:r w:rsidR="00940AA9" w:rsidRPr="00C022A0">
        <w:br/>
      </w:r>
      <w:r w:rsidR="00446B63" w:rsidRPr="00C022A0">
        <w:t>bijvoorbeeld</w:t>
      </w:r>
      <w:r w:rsidR="00117398" w:rsidRPr="00C022A0">
        <w:t xml:space="preserve"> gambling, gaming, erotiek, charitatieve stichtingen, horeca, kunsthandel</w:t>
      </w:r>
      <w:r w:rsidR="00AF2BE1" w:rsidRPr="00C022A0">
        <w:t>, goudha</w:t>
      </w:r>
      <w:r w:rsidR="000713C9" w:rsidRPr="00C022A0">
        <w:t>ndel, munten, bitcoin</w:t>
      </w:r>
      <w:r w:rsidR="00BB3DC6" w:rsidRPr="00C022A0">
        <w:t xml:space="preserve">/crypto currency </w:t>
      </w:r>
      <w:r w:rsidR="000713C9" w:rsidRPr="00C022A0">
        <w:t xml:space="preserve">exchange, </w:t>
      </w:r>
      <w:r w:rsidR="00EC1D3B" w:rsidRPr="00C022A0">
        <w:t>hosting services, administratiekantoren, consultancy, opleidingen</w:t>
      </w:r>
      <w:r w:rsidR="00D26217" w:rsidRPr="00C022A0">
        <w:t>, travel of crowdfunding</w:t>
      </w:r>
      <w:r w:rsidR="00AF2BE1" w:rsidRPr="00C022A0">
        <w:t xml:space="preserve"> </w:t>
      </w:r>
      <w:r w:rsidR="00446B63" w:rsidRPr="00C022A0">
        <w:t xml:space="preserve"> </w:t>
      </w:r>
    </w:p>
    <w:p w:rsidR="00940AA9" w:rsidRPr="00C022A0" w:rsidRDefault="007B1AF7" w:rsidP="00C5653C">
      <w:pPr>
        <w:pStyle w:val="Lijstalinea"/>
        <w:numPr>
          <w:ilvl w:val="0"/>
          <w:numId w:val="34"/>
        </w:numPr>
        <w:ind w:left="284" w:hanging="284"/>
      </w:pPr>
      <w:r w:rsidRPr="00C022A0">
        <w:t xml:space="preserve">het </w:t>
      </w:r>
      <w:r w:rsidR="00FE3884" w:rsidRPr="00C022A0">
        <w:t>land</w:t>
      </w:r>
      <w:r w:rsidRPr="00C022A0">
        <w:t xml:space="preserve"> waar de transactie naartoe gaat of vandaan komt</w:t>
      </w:r>
      <w:r w:rsidR="00FE3884" w:rsidRPr="00C022A0">
        <w:t xml:space="preserve"> </w:t>
      </w:r>
      <w:r w:rsidR="00940AA9" w:rsidRPr="00C022A0">
        <w:br/>
      </w:r>
      <w:r w:rsidR="00446B63" w:rsidRPr="00C022A0">
        <w:t xml:space="preserve">bijvoorbeeld </w:t>
      </w:r>
      <w:r w:rsidR="00FE3884" w:rsidRPr="00C022A0">
        <w:t>hoogrisico land, EU</w:t>
      </w:r>
      <w:r w:rsidR="00446B63" w:rsidRPr="00C022A0">
        <w:t xml:space="preserve"> </w:t>
      </w:r>
      <w:r w:rsidR="00D46B5E" w:rsidRPr="00C022A0">
        <w:t xml:space="preserve">of </w:t>
      </w:r>
      <w:r w:rsidR="00FE3884" w:rsidRPr="00C022A0">
        <w:t>non-EU</w:t>
      </w:r>
      <w:r w:rsidR="00D46B5E" w:rsidRPr="00C022A0">
        <w:t xml:space="preserve"> land</w:t>
      </w:r>
    </w:p>
    <w:p w:rsidR="00940AA9" w:rsidRPr="00C022A0" w:rsidRDefault="007B1AF7" w:rsidP="00C5653C">
      <w:pPr>
        <w:pStyle w:val="Lijstalinea"/>
        <w:numPr>
          <w:ilvl w:val="0"/>
          <w:numId w:val="34"/>
        </w:numPr>
        <w:ind w:left="284" w:hanging="284"/>
        <w:rPr>
          <w:lang w:val="en-US"/>
        </w:rPr>
      </w:pPr>
      <w:r w:rsidRPr="00C022A0">
        <w:rPr>
          <w:lang w:val="en-US"/>
        </w:rPr>
        <w:t xml:space="preserve">het </w:t>
      </w:r>
      <w:r w:rsidR="00FE3884" w:rsidRPr="00C022A0">
        <w:rPr>
          <w:lang w:val="en-US"/>
        </w:rPr>
        <w:t>product</w:t>
      </w:r>
      <w:r w:rsidR="00940AA9" w:rsidRPr="00C022A0">
        <w:rPr>
          <w:lang w:val="en-US"/>
        </w:rPr>
        <w:br/>
      </w:r>
      <w:r w:rsidR="00446B63" w:rsidRPr="00C022A0">
        <w:rPr>
          <w:lang w:val="en-US"/>
        </w:rPr>
        <w:t xml:space="preserve">bijvoorbeeld </w:t>
      </w:r>
      <w:r w:rsidR="00117398" w:rsidRPr="00C022A0">
        <w:rPr>
          <w:lang w:val="en-US"/>
        </w:rPr>
        <w:t>creditcards uit hoogrisicolanden</w:t>
      </w:r>
      <w:r w:rsidR="007A5AA6" w:rsidRPr="00C022A0">
        <w:rPr>
          <w:lang w:val="en-US"/>
        </w:rPr>
        <w:t>, bitcoins</w:t>
      </w:r>
      <w:r w:rsidR="00D26217" w:rsidRPr="00C022A0">
        <w:rPr>
          <w:lang w:val="en-US"/>
        </w:rPr>
        <w:t xml:space="preserve">, </w:t>
      </w:r>
      <w:r w:rsidR="00117398" w:rsidRPr="00C022A0">
        <w:rPr>
          <w:lang w:val="en-US"/>
        </w:rPr>
        <w:t>prepaid cards</w:t>
      </w:r>
      <w:r w:rsidR="00BB3DC6" w:rsidRPr="00C022A0">
        <w:rPr>
          <w:lang w:val="en-US"/>
        </w:rPr>
        <w:t>, e-wallets</w:t>
      </w:r>
      <w:r w:rsidR="00D26217" w:rsidRPr="00C022A0">
        <w:rPr>
          <w:lang w:val="en-US"/>
        </w:rPr>
        <w:t xml:space="preserve"> of</w:t>
      </w:r>
      <w:r w:rsidR="00AF2BE1" w:rsidRPr="00C022A0">
        <w:rPr>
          <w:lang w:val="en-US"/>
        </w:rPr>
        <w:t xml:space="preserve"> paypal</w:t>
      </w:r>
    </w:p>
    <w:p w:rsidR="00B91E95" w:rsidRPr="00C022A0" w:rsidRDefault="00D46B5E" w:rsidP="00A157F9">
      <w:pPr>
        <w:pStyle w:val="Lijstalinea"/>
        <w:numPr>
          <w:ilvl w:val="0"/>
          <w:numId w:val="34"/>
        </w:numPr>
        <w:ind w:left="284" w:hanging="284"/>
        <w:rPr>
          <w:lang w:val="en-US"/>
        </w:rPr>
      </w:pPr>
      <w:r w:rsidRPr="00C022A0">
        <w:lastRenderedPageBreak/>
        <w:t xml:space="preserve">de </w:t>
      </w:r>
      <w:r w:rsidR="00FE3884" w:rsidRPr="00C022A0">
        <w:t xml:space="preserve">aard </w:t>
      </w:r>
      <w:r w:rsidR="00446B63" w:rsidRPr="00C022A0">
        <w:t xml:space="preserve">van de </w:t>
      </w:r>
      <w:r w:rsidR="00FE3884" w:rsidRPr="00C022A0">
        <w:t>transactie</w:t>
      </w:r>
      <w:r w:rsidR="00B91E95" w:rsidRPr="00C022A0">
        <w:t xml:space="preserve"> </w:t>
      </w:r>
    </w:p>
    <w:p w:rsidR="00940AA9" w:rsidRPr="00C022A0" w:rsidRDefault="00CC4E74" w:rsidP="00B91E95">
      <w:pPr>
        <w:pStyle w:val="Lijstalinea"/>
        <w:ind w:left="284"/>
        <w:rPr>
          <w:lang w:val="en-US"/>
        </w:rPr>
      </w:pPr>
      <w:r w:rsidRPr="00C022A0">
        <w:rPr>
          <w:lang w:val="en-US"/>
        </w:rPr>
        <w:t>bijvoorbeeld customer to customer, cus</w:t>
      </w:r>
      <w:r w:rsidR="00D26217" w:rsidRPr="00C022A0">
        <w:rPr>
          <w:lang w:val="en-US"/>
        </w:rPr>
        <w:t>tomer to merchant, charge backs of</w:t>
      </w:r>
      <w:r w:rsidRPr="00C022A0">
        <w:rPr>
          <w:lang w:val="en-US"/>
        </w:rPr>
        <w:t xml:space="preserve"> refunds</w:t>
      </w:r>
    </w:p>
    <w:p w:rsidR="00940AA9" w:rsidRPr="00B91E95" w:rsidRDefault="00940AA9" w:rsidP="00B91E95">
      <w:pPr>
        <w:rPr>
          <w:lang w:val="en-US"/>
        </w:rPr>
      </w:pPr>
    </w:p>
    <w:p w:rsidR="00446B63" w:rsidRDefault="00446B63" w:rsidP="00C5653C">
      <w:r>
        <w:t>D</w:t>
      </w:r>
      <w:r w:rsidR="00113958">
        <w:t xml:space="preserve">e </w:t>
      </w:r>
      <w:r w:rsidR="00CC4E74">
        <w:t>betaaldienstverlener</w:t>
      </w:r>
      <w:r w:rsidR="00113958">
        <w:t xml:space="preserve"> </w:t>
      </w:r>
      <w:r>
        <w:t xml:space="preserve">zorgt </w:t>
      </w:r>
      <w:r w:rsidR="006C40AC">
        <w:t>voor</w:t>
      </w:r>
      <w:r w:rsidR="00113958">
        <w:t xml:space="preserve"> </w:t>
      </w:r>
      <w:r w:rsidR="00FE3884">
        <w:t xml:space="preserve">voldoende </w:t>
      </w:r>
      <w:r w:rsidR="00FE3884" w:rsidRPr="00FE3884">
        <w:t>diversi</w:t>
      </w:r>
      <w:r w:rsidR="00FE3884">
        <w:t>fi</w:t>
      </w:r>
      <w:r w:rsidR="006C40AC">
        <w:t>catie</w:t>
      </w:r>
      <w:r w:rsidR="00FE3884" w:rsidRPr="00FE3884">
        <w:t xml:space="preserve"> in de </w:t>
      </w:r>
      <w:r w:rsidR="00E37849">
        <w:t xml:space="preserve">business rules al naar gelang </w:t>
      </w:r>
      <w:r>
        <w:t xml:space="preserve">sprake is van meerdere </w:t>
      </w:r>
      <w:r w:rsidR="00E37849">
        <w:t>cliëntsegmenten</w:t>
      </w:r>
      <w:r>
        <w:t>, landen, producten</w:t>
      </w:r>
      <w:r w:rsidR="00A157F9">
        <w:t xml:space="preserve"> </w:t>
      </w:r>
      <w:r w:rsidR="00FE3884">
        <w:t>en soorten transacties</w:t>
      </w:r>
      <w:r w:rsidR="00B51198">
        <w:t xml:space="preserve">. </w:t>
      </w:r>
    </w:p>
    <w:p w:rsidR="00770A66" w:rsidRDefault="00770A66" w:rsidP="000978B5">
      <w:pPr>
        <w:pStyle w:val="Lijstalinea"/>
        <w:ind w:left="0"/>
      </w:pPr>
    </w:p>
    <w:p w:rsidR="000978B5" w:rsidRDefault="00E37849" w:rsidP="000978B5">
      <w:pPr>
        <w:pStyle w:val="Lijstalinea"/>
        <w:ind w:left="0"/>
      </w:pPr>
      <w:r>
        <w:t>V</w:t>
      </w:r>
      <w:r w:rsidR="000B3F98">
        <w:t>erder</w:t>
      </w:r>
      <w:r>
        <w:t xml:space="preserve"> wordt bij h</w:t>
      </w:r>
      <w:r w:rsidR="00B51198">
        <w:t xml:space="preserve">et bepalen van </w:t>
      </w:r>
      <w:r w:rsidR="000C0674">
        <w:t xml:space="preserve">de business rules ook </w:t>
      </w:r>
      <w:r>
        <w:t>gebruik gemaakt van</w:t>
      </w:r>
      <w:r w:rsidR="00FE3884" w:rsidRPr="00FE3884">
        <w:t xml:space="preserve"> vergelijkingen met </w:t>
      </w:r>
      <w:r w:rsidR="00446B63">
        <w:t xml:space="preserve">andere </w:t>
      </w:r>
      <w:r w:rsidR="00FE3884" w:rsidRPr="00FE3884">
        <w:t xml:space="preserve">transacties </w:t>
      </w:r>
      <w:r w:rsidR="00492651" w:rsidRPr="00FE3884">
        <w:t xml:space="preserve">van de </w:t>
      </w:r>
      <w:r w:rsidR="00492651">
        <w:t>cliënt</w:t>
      </w:r>
      <w:r w:rsidR="000B3F98">
        <w:t>,</w:t>
      </w:r>
      <w:r w:rsidR="00492651">
        <w:t xml:space="preserve"> </w:t>
      </w:r>
      <w:r w:rsidR="00446B63">
        <w:t xml:space="preserve">bijvoorbeeld </w:t>
      </w:r>
      <w:r w:rsidR="000C0674">
        <w:t xml:space="preserve">transacties </w:t>
      </w:r>
      <w:r w:rsidR="00FE3884" w:rsidRPr="00FE3884">
        <w:t>over eerdere perioden</w:t>
      </w:r>
      <w:r w:rsidR="00AC2B8F">
        <w:t>,</w:t>
      </w:r>
      <w:r w:rsidR="00FE3884" w:rsidRPr="00FE3884">
        <w:t xml:space="preserve"> </w:t>
      </w:r>
      <w:r w:rsidR="00446B63">
        <w:t xml:space="preserve">in relatie tot de </w:t>
      </w:r>
      <w:r w:rsidR="00FE3884" w:rsidRPr="00FE3884">
        <w:t xml:space="preserve">maturiteit </w:t>
      </w:r>
      <w:r w:rsidR="00D46B5E" w:rsidRPr="00D46B5E">
        <w:t xml:space="preserve">van de klantrelatie (dus hoe lang de klant al klant is bij uw </w:t>
      </w:r>
      <w:r w:rsidR="00CC4E74">
        <w:t>instelling</w:t>
      </w:r>
      <w:r w:rsidR="00D46B5E" w:rsidRPr="00D46B5E">
        <w:t xml:space="preserve">) </w:t>
      </w:r>
      <w:r w:rsidR="000978B5">
        <w:t xml:space="preserve">Van belang is dat een </w:t>
      </w:r>
      <w:r w:rsidR="00CC4E74">
        <w:t>instelling</w:t>
      </w:r>
      <w:r w:rsidR="000978B5">
        <w:t xml:space="preserve"> documenteert op welke wijze zij tot een definitie van een business rule is gekomen</w:t>
      </w:r>
      <w:r w:rsidR="009B012B">
        <w:t>,</w:t>
      </w:r>
      <w:r w:rsidR="009252BA">
        <w:t xml:space="preserve"> en</w:t>
      </w:r>
      <w:r w:rsidR="000978B5">
        <w:t xml:space="preserve"> hoe </w:t>
      </w:r>
      <w:r w:rsidR="009B012B">
        <w:t xml:space="preserve">de </w:t>
      </w:r>
      <w:r w:rsidR="00CC4E74">
        <w:t>instelling</w:t>
      </w:r>
      <w:r w:rsidR="009B012B">
        <w:t xml:space="preserve"> </w:t>
      </w:r>
      <w:r w:rsidR="00364318">
        <w:t xml:space="preserve">doorlopend </w:t>
      </w:r>
      <w:r w:rsidR="009B012B">
        <w:t xml:space="preserve">haar business rules </w:t>
      </w:r>
      <w:r w:rsidR="000978B5">
        <w:t>onderhoud</w:t>
      </w:r>
      <w:r w:rsidR="009B012B">
        <w:t>t</w:t>
      </w:r>
      <w:r w:rsidR="00364318">
        <w:t xml:space="preserve"> en periodiek</w:t>
      </w:r>
      <w:r w:rsidR="00364318" w:rsidRPr="00364318">
        <w:t xml:space="preserve"> </w:t>
      </w:r>
      <w:r w:rsidR="009B012B">
        <w:t>t</w:t>
      </w:r>
      <w:r w:rsidR="00364318" w:rsidRPr="00364318">
        <w:t>est</w:t>
      </w:r>
      <w:r w:rsidR="009B012B">
        <w:t xml:space="preserve">, bijvoorbeeld </w:t>
      </w:r>
      <w:r w:rsidR="00364318" w:rsidRPr="00364318">
        <w:t xml:space="preserve">door </w:t>
      </w:r>
      <w:r w:rsidR="009B012B">
        <w:t>gebruik te maken van</w:t>
      </w:r>
      <w:r w:rsidR="00364318" w:rsidRPr="00364318">
        <w:t xml:space="preserve"> </w:t>
      </w:r>
      <w:r w:rsidR="00364318" w:rsidRPr="00D861C3">
        <w:rPr>
          <w:i/>
        </w:rPr>
        <w:t>backtesting</w:t>
      </w:r>
      <w:r w:rsidR="00600742" w:rsidRPr="00D861C3">
        <w:t xml:space="preserve"> (zie verder 3.3.</w:t>
      </w:r>
      <w:r w:rsidR="00D861C3" w:rsidRPr="00D861C3">
        <w:t>4</w:t>
      </w:r>
      <w:r w:rsidR="00600742" w:rsidRPr="00D861C3">
        <w:t>)</w:t>
      </w:r>
      <w:r w:rsidR="000978B5" w:rsidRPr="00D861C3">
        <w:t>.</w:t>
      </w:r>
      <w:r w:rsidR="00742B98" w:rsidRPr="00D861C3">
        <w:t xml:space="preserve"> Met</w:t>
      </w:r>
      <w:r w:rsidR="00742B98">
        <w:t xml:space="preserve"> backtesting wordt bedoeld het achteraf toetsen van de effectiviteit van de toegepaste business rules</w:t>
      </w:r>
      <w:r w:rsidR="00492651">
        <w:t xml:space="preserve"> (en waar nodig de business rules aanpassen)</w:t>
      </w:r>
      <w:r w:rsidR="00742B98">
        <w:t xml:space="preserve">. </w:t>
      </w:r>
    </w:p>
    <w:p w:rsidR="001011AE" w:rsidRDefault="001011AE" w:rsidP="000978B5">
      <w:pPr>
        <w:pStyle w:val="Lijstalinea"/>
        <w:ind w:left="0"/>
      </w:pPr>
    </w:p>
    <w:p w:rsidR="00A43839" w:rsidRPr="00A43839" w:rsidRDefault="00A43839" w:rsidP="001011AE">
      <w:pPr>
        <w:widowControl w:val="0"/>
        <w:pBdr>
          <w:top w:val="single" w:sz="4" w:space="1" w:color="auto"/>
          <w:left w:val="single" w:sz="4" w:space="4" w:color="auto"/>
          <w:bottom w:val="single" w:sz="4" w:space="1" w:color="auto"/>
          <w:right w:val="single" w:sz="4" w:space="4" w:color="auto"/>
        </w:pBdr>
        <w:shd w:val="clear" w:color="auto" w:fill="BDD6EE" w:themeFill="accent1" w:themeFillTint="66"/>
        <w:rPr>
          <w:b/>
          <w:szCs w:val="17"/>
        </w:rPr>
      </w:pPr>
      <w:r w:rsidRPr="00A43839">
        <w:rPr>
          <w:b/>
          <w:szCs w:val="17"/>
        </w:rPr>
        <w:t>Good practice</w:t>
      </w:r>
    </w:p>
    <w:p w:rsidR="001011AE" w:rsidRDefault="001011AE" w:rsidP="001011AE">
      <w:pPr>
        <w:widowControl w:val="0"/>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sidRPr="00C022A0">
        <w:rPr>
          <w:szCs w:val="17"/>
        </w:rPr>
        <w:t xml:space="preserve">Uit de uitkomsten van de SIRA van een </w:t>
      </w:r>
      <w:r w:rsidR="003E2714" w:rsidRPr="00C022A0">
        <w:rPr>
          <w:szCs w:val="17"/>
        </w:rPr>
        <w:t>betaaldienstverlener</w:t>
      </w:r>
      <w:r w:rsidR="00E37849" w:rsidRPr="00C022A0">
        <w:rPr>
          <w:szCs w:val="17"/>
        </w:rPr>
        <w:t xml:space="preserve"> </w:t>
      </w:r>
      <w:r w:rsidRPr="00C022A0">
        <w:rPr>
          <w:szCs w:val="17"/>
        </w:rPr>
        <w:t>volgde dat zij</w:t>
      </w:r>
      <w:r w:rsidR="007A5AA6" w:rsidRPr="00C022A0">
        <w:rPr>
          <w:szCs w:val="17"/>
        </w:rPr>
        <w:t xml:space="preserve"> verhoogde risico’s liep door </w:t>
      </w:r>
      <w:r w:rsidR="00327E1D" w:rsidRPr="00C022A0">
        <w:rPr>
          <w:szCs w:val="17"/>
        </w:rPr>
        <w:t>bitcoins te</w:t>
      </w:r>
      <w:r w:rsidR="007A5AA6" w:rsidRPr="00C022A0">
        <w:rPr>
          <w:szCs w:val="17"/>
        </w:rPr>
        <w:t xml:space="preserve"> accepteren.</w:t>
      </w:r>
      <w:r w:rsidR="006325B8" w:rsidRPr="00C022A0">
        <w:rPr>
          <w:szCs w:val="17"/>
        </w:rPr>
        <w:t xml:space="preserve"> </w:t>
      </w:r>
      <w:r w:rsidRPr="00C022A0">
        <w:rPr>
          <w:szCs w:val="17"/>
        </w:rPr>
        <w:t xml:space="preserve">De </w:t>
      </w:r>
      <w:r w:rsidR="003E2714" w:rsidRPr="00C022A0">
        <w:rPr>
          <w:szCs w:val="17"/>
        </w:rPr>
        <w:t>betaaldienstverlener</w:t>
      </w:r>
      <w:r w:rsidRPr="00C022A0">
        <w:rPr>
          <w:szCs w:val="17"/>
        </w:rPr>
        <w:t xml:space="preserve"> anticipeerde hierop </w:t>
      </w:r>
      <w:r w:rsidR="00E37849" w:rsidRPr="00C022A0">
        <w:rPr>
          <w:szCs w:val="17"/>
        </w:rPr>
        <w:t xml:space="preserve">in haar transactiemonitoringsproces </w:t>
      </w:r>
      <w:r w:rsidRPr="00C022A0">
        <w:rPr>
          <w:szCs w:val="17"/>
        </w:rPr>
        <w:t>door</w:t>
      </w:r>
      <w:r w:rsidR="00E37849" w:rsidRPr="00C022A0">
        <w:rPr>
          <w:szCs w:val="17"/>
        </w:rPr>
        <w:t xml:space="preserve"> voor </w:t>
      </w:r>
      <w:r w:rsidR="007A5AA6" w:rsidRPr="00C022A0">
        <w:rPr>
          <w:szCs w:val="17"/>
        </w:rPr>
        <w:t>bitcoins</w:t>
      </w:r>
      <w:r w:rsidR="00E37849" w:rsidRPr="00C022A0">
        <w:rPr>
          <w:szCs w:val="17"/>
        </w:rPr>
        <w:t xml:space="preserve"> een</w:t>
      </w:r>
      <w:r w:rsidRPr="00C022A0">
        <w:rPr>
          <w:szCs w:val="17"/>
        </w:rPr>
        <w:t xml:space="preserve"> specifieke business rule te implementeren.</w:t>
      </w:r>
      <w:r>
        <w:rPr>
          <w:szCs w:val="17"/>
        </w:rPr>
        <w:t xml:space="preserve"> </w:t>
      </w:r>
    </w:p>
    <w:p w:rsidR="00A740E1" w:rsidRPr="00A740E1" w:rsidRDefault="00A740E1" w:rsidP="00B91E95"/>
    <w:p w:rsidR="00364318" w:rsidRPr="00F57308" w:rsidRDefault="00364318" w:rsidP="00B67AC3">
      <w:pPr>
        <w:pStyle w:val="Kop3"/>
      </w:pPr>
      <w:bookmarkStart w:id="31" w:name="_Toc479794872"/>
      <w:bookmarkStart w:id="32" w:name="_Toc479794941"/>
      <w:bookmarkStart w:id="33" w:name="_Toc483922739"/>
      <w:bookmarkEnd w:id="31"/>
      <w:bookmarkEnd w:id="32"/>
      <w:r w:rsidRPr="00F57308">
        <w:t>Business rules in relatie tot terrorismefinanciering</w:t>
      </w:r>
      <w:bookmarkEnd w:id="33"/>
    </w:p>
    <w:p w:rsidR="00A62503" w:rsidRDefault="00000C24" w:rsidP="00000C24">
      <w:pPr>
        <w:shd w:val="clear" w:color="auto" w:fill="FFFFFF" w:themeFill="background1"/>
      </w:pPr>
      <w:r>
        <w:t xml:space="preserve">DNB constateerde </w:t>
      </w:r>
      <w:r w:rsidR="00061CF7">
        <w:t xml:space="preserve">bij een aantal onderzochte </w:t>
      </w:r>
      <w:r w:rsidR="00C5653C">
        <w:t>betaaldienstverleners</w:t>
      </w:r>
      <w:r>
        <w:t xml:space="preserve"> dat </w:t>
      </w:r>
      <w:r w:rsidR="009252BA">
        <w:t xml:space="preserve">er </w:t>
      </w:r>
      <w:r>
        <w:t xml:space="preserve">nagenoeg geen business rules in het systeem waren voor detectie van terrorismefinanciering. DNB verwacht </w:t>
      </w:r>
      <w:r w:rsidR="00BD3166">
        <w:t>d</w:t>
      </w:r>
      <w:r>
        <w:t xml:space="preserve">at </w:t>
      </w:r>
      <w:r w:rsidR="00C5653C">
        <w:t>betaaldienstverleners</w:t>
      </w:r>
      <w:r>
        <w:t xml:space="preserve"> specifiek </w:t>
      </w:r>
      <w:r w:rsidR="00395E05" w:rsidRPr="00395E05">
        <w:t xml:space="preserve">indicatoren voor terrorismefinanciering vertaald </w:t>
      </w:r>
      <w:r w:rsidR="00BD3166">
        <w:t xml:space="preserve">hebben </w:t>
      </w:r>
      <w:r w:rsidR="00395E05" w:rsidRPr="00395E05">
        <w:t xml:space="preserve">in </w:t>
      </w:r>
      <w:r>
        <w:t xml:space="preserve">business rules </w:t>
      </w:r>
      <w:r w:rsidR="00395E05" w:rsidRPr="00395E05">
        <w:t xml:space="preserve">die </w:t>
      </w:r>
      <w:r w:rsidR="00BD3166">
        <w:t xml:space="preserve">vervolgens </w:t>
      </w:r>
      <w:r w:rsidR="00395E05" w:rsidRPr="00395E05">
        <w:t xml:space="preserve">in hun transactiemonitoringssystemen zijn opgenomen. </w:t>
      </w:r>
    </w:p>
    <w:p w:rsidR="00A62503" w:rsidRDefault="00A62503" w:rsidP="00000C24">
      <w:pPr>
        <w:shd w:val="clear" w:color="auto" w:fill="FFFFFF" w:themeFill="background1"/>
        <w:rPr>
          <w:bdr w:val="single" w:sz="4" w:space="0" w:color="auto"/>
          <w:shd w:val="clear" w:color="auto" w:fill="D9D9D9" w:themeFill="background1" w:themeFillShade="D9"/>
        </w:rPr>
      </w:pPr>
    </w:p>
    <w:p w:rsidR="00607616" w:rsidRDefault="00607616" w:rsidP="00607616">
      <w:pPr>
        <w:shd w:val="clear" w:color="auto" w:fill="FFFFFF" w:themeFill="background1"/>
        <w:rPr>
          <w:shd w:val="clear" w:color="auto" w:fill="FFFFFF" w:themeFill="background1"/>
        </w:rPr>
      </w:pPr>
      <w:r w:rsidRPr="003A3F57">
        <w:rPr>
          <w:shd w:val="clear" w:color="auto" w:fill="FFFFFF" w:themeFill="background1"/>
        </w:rPr>
        <w:t>Tijdens de onderzoeken is gebleken dat in de transactiemonitoringssystemen veelal gebruik wordt gemaakt van hoge transactielimieten, terwijl terrorismefinanciering vaak gekenmerkt wordt door transacties met lage bedragen. Aangezien uitsluitend een laag transactiebedrag niet duidt op terrorismefinanciering</w:t>
      </w:r>
      <w:r w:rsidR="000B3F98">
        <w:rPr>
          <w:shd w:val="clear" w:color="auto" w:fill="FFFFFF" w:themeFill="background1"/>
        </w:rPr>
        <w:t>,</w:t>
      </w:r>
      <w:r w:rsidRPr="003A3F57">
        <w:rPr>
          <w:shd w:val="clear" w:color="auto" w:fill="FFFFFF" w:themeFill="background1"/>
        </w:rPr>
        <w:t xml:space="preserve"> zouden </w:t>
      </w:r>
      <w:r w:rsidR="00C5653C">
        <w:rPr>
          <w:shd w:val="clear" w:color="auto" w:fill="FFFFFF" w:themeFill="background1"/>
        </w:rPr>
        <w:t>betaaldienstverleners</w:t>
      </w:r>
      <w:r w:rsidRPr="003A3F57">
        <w:rPr>
          <w:shd w:val="clear" w:color="auto" w:fill="FFFFFF" w:themeFill="background1"/>
        </w:rPr>
        <w:t xml:space="preserve"> dit moeten koppelen aan andere indicatoren van terrorismefinanciering (combinaties van verschillende indicatoren). Hierbij kan gedacht worden aan combinaties van lagere grensbedragen voor transacties met terrorisme gerelateerde landen in samenhang met bepaalde soorten cliënten, zoals stichtingen. Daarnaast kan op basis van het risicoprofiel van een cliënt een lagere limiet worden vastgesteld: voor een voor terrorismefinanciering hoogrisico cliënt is een relatief lagere limiet in het transactiemonitoringssysteem ingesteld</w:t>
      </w:r>
      <w:r>
        <w:rPr>
          <w:shd w:val="clear" w:color="auto" w:fill="FFFFFF" w:themeFill="background1"/>
        </w:rPr>
        <w:t>.</w:t>
      </w:r>
    </w:p>
    <w:p w:rsidR="00EC1D3B" w:rsidRDefault="00EC1D3B" w:rsidP="00607616">
      <w:pPr>
        <w:shd w:val="clear" w:color="auto" w:fill="FFFFFF" w:themeFill="background1"/>
        <w:rPr>
          <w:shd w:val="clear" w:color="auto" w:fill="FFFFFF" w:themeFill="background1"/>
        </w:rPr>
      </w:pPr>
    </w:p>
    <w:p w:rsidR="0053714A" w:rsidRPr="00395E05" w:rsidRDefault="0053714A" w:rsidP="0053714A">
      <w:pPr>
        <w:shd w:val="clear" w:color="auto" w:fill="FFFFFF" w:themeFill="background1"/>
      </w:pPr>
    </w:p>
    <w:p w:rsidR="0053714A" w:rsidRDefault="0053714A" w:rsidP="0053714A">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Betaaldienstverleners moeten </w:t>
      </w:r>
      <w:r w:rsidR="00D26217">
        <w:t xml:space="preserve">in hun monitoring </w:t>
      </w:r>
      <w:r>
        <w:t>alert zijn bij het faciliteren van stichtingen die gelden inzamelen ten behoeve van crisis- en conflictgebieden. Red flags bij deze stichtingen kunnen bijvoorbeeld zijn;</w:t>
      </w:r>
    </w:p>
    <w:p w:rsidR="00AE0E3F" w:rsidRDefault="00AE0E3F" w:rsidP="0053714A">
      <w:pPr>
        <w:pBdr>
          <w:top w:val="single" w:sz="4" w:space="1" w:color="auto"/>
          <w:left w:val="single" w:sz="4" w:space="4" w:color="auto"/>
          <w:bottom w:val="single" w:sz="4" w:space="1" w:color="auto"/>
          <w:right w:val="single" w:sz="4" w:space="4" w:color="auto"/>
        </w:pBdr>
        <w:shd w:val="clear" w:color="auto" w:fill="D9D9D9" w:themeFill="background1" w:themeFillShade="D9"/>
      </w:pPr>
      <w:r>
        <w:t>-Mediaberichten</w:t>
      </w:r>
      <w:r w:rsidR="0053714A">
        <w:t xml:space="preserve"> op</w:t>
      </w:r>
      <w:r>
        <w:t xml:space="preserve"> de website waar religieuze boodschappen worden verkondigd. </w:t>
      </w:r>
    </w:p>
    <w:p w:rsidR="0053714A" w:rsidRDefault="00D26217" w:rsidP="0053714A">
      <w:pPr>
        <w:pBdr>
          <w:top w:val="single" w:sz="4" w:space="1" w:color="auto"/>
          <w:left w:val="single" w:sz="4" w:space="4" w:color="auto"/>
          <w:bottom w:val="single" w:sz="4" w:space="1" w:color="auto"/>
          <w:right w:val="single" w:sz="4" w:space="4" w:color="auto"/>
        </w:pBdr>
        <w:shd w:val="clear" w:color="auto" w:fill="D9D9D9" w:themeFill="background1" w:themeFillShade="D9"/>
      </w:pPr>
      <w:r>
        <w:t>-Nieuwsitems over de b</w:t>
      </w:r>
      <w:r w:rsidR="0053714A">
        <w:t>etrokkenheid vanuit de stichting of de bestuurders van de stichting bij onverdraagzame uitingen</w:t>
      </w:r>
      <w:r w:rsidR="00AE0E3F">
        <w:t>.</w:t>
      </w:r>
    </w:p>
    <w:p w:rsidR="0053714A" w:rsidRDefault="00D26217" w:rsidP="0053714A">
      <w:pPr>
        <w:pBdr>
          <w:top w:val="single" w:sz="4" w:space="1" w:color="auto"/>
          <w:left w:val="single" w:sz="4" w:space="4" w:color="auto"/>
          <w:bottom w:val="single" w:sz="4" w:space="1" w:color="auto"/>
          <w:right w:val="single" w:sz="4" w:space="4" w:color="auto"/>
        </w:pBdr>
        <w:shd w:val="clear" w:color="auto" w:fill="D9D9D9" w:themeFill="background1" w:themeFillShade="D9"/>
      </w:pPr>
      <w:r>
        <w:t>-</w:t>
      </w:r>
      <w:r w:rsidR="0053714A">
        <w:t>Stortingen van ongewoon hoge bedragen op de stichting</w:t>
      </w:r>
      <w:r w:rsidR="00AE0E3F">
        <w:t>.</w:t>
      </w:r>
    </w:p>
    <w:p w:rsidR="0053714A" w:rsidRDefault="00D26217" w:rsidP="0053714A">
      <w:pPr>
        <w:pBdr>
          <w:top w:val="single" w:sz="4" w:space="1" w:color="auto"/>
          <w:left w:val="single" w:sz="4" w:space="4" w:color="auto"/>
          <w:bottom w:val="single" w:sz="4" w:space="1" w:color="auto"/>
          <w:right w:val="single" w:sz="4" w:space="4" w:color="auto"/>
        </w:pBdr>
        <w:shd w:val="clear" w:color="auto" w:fill="D9D9D9" w:themeFill="background1" w:themeFillShade="D9"/>
      </w:pPr>
      <w:r>
        <w:t>-</w:t>
      </w:r>
      <w:r w:rsidR="0053714A">
        <w:t>Stortingen van veel kleine bedragen van dezelfde bron</w:t>
      </w:r>
      <w:r w:rsidR="00AE0E3F">
        <w:t>.</w:t>
      </w:r>
    </w:p>
    <w:p w:rsidR="0053714A" w:rsidRDefault="0053714A" w:rsidP="00607616">
      <w:pPr>
        <w:shd w:val="clear" w:color="auto" w:fill="FFFFFF" w:themeFill="background1"/>
        <w:rPr>
          <w:shd w:val="clear" w:color="auto" w:fill="FFFFFF" w:themeFill="background1"/>
        </w:rPr>
      </w:pPr>
    </w:p>
    <w:p w:rsidR="00A62503" w:rsidRPr="00395E05" w:rsidRDefault="00A62503" w:rsidP="00000C24">
      <w:pPr>
        <w:shd w:val="clear" w:color="auto" w:fill="FFFFFF" w:themeFill="background1"/>
      </w:pPr>
    </w:p>
    <w:p w:rsidR="00395E05" w:rsidRDefault="00395E05" w:rsidP="00A62503">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95E05">
        <w:t xml:space="preserve">Tijdens de onderzoeken is gebleken dat de selectie van risicolanden die in verband worden gebracht met terrorismefinanciering beperkt </w:t>
      </w:r>
      <w:r w:rsidR="000C0674">
        <w:t>dan wel</w:t>
      </w:r>
      <w:r w:rsidRPr="00395E05">
        <w:t xml:space="preserve"> niet actueel is. Veelal is een risicolandenlijst </w:t>
      </w:r>
      <w:r w:rsidR="000B3F98" w:rsidRPr="00395E05">
        <w:t xml:space="preserve">opgesteld </w:t>
      </w:r>
      <w:r w:rsidRPr="00395E05">
        <w:t xml:space="preserve">aan de hand van de FATF-waarschuwingslijsten en de Corruption Perception Index (CPI), </w:t>
      </w:r>
      <w:r w:rsidR="000C0674">
        <w:t>maar is geen rekening gehouden met</w:t>
      </w:r>
      <w:r w:rsidRPr="00395E05">
        <w:t xml:space="preserve"> landen </w:t>
      </w:r>
      <w:r w:rsidR="000C0674">
        <w:t xml:space="preserve">die </w:t>
      </w:r>
      <w:r w:rsidRPr="00395E05">
        <w:t xml:space="preserve">in verband kunnen worden gebracht met </w:t>
      </w:r>
      <w:r w:rsidR="009D4E67">
        <w:t xml:space="preserve">terrorisme en </w:t>
      </w:r>
      <w:r w:rsidRPr="00395E05">
        <w:t xml:space="preserve">terrorismefinanciering. Zo wijzen recente publicaties op mogelijke financiering van dubieuze Nederlandse charitatieve instellingen, kerkgenootschappen en/of non-profit organisaties, vaak in de vorm van stichtingen door personen of instellingen uit </w:t>
      </w:r>
      <w:r w:rsidR="000C0674">
        <w:t>bepaalde landen</w:t>
      </w:r>
      <w:r w:rsidR="002B68CE">
        <w:t>, zoals de Golfstaten</w:t>
      </w:r>
      <w:r w:rsidRPr="00395E05">
        <w:t xml:space="preserve">. </w:t>
      </w:r>
      <w:r w:rsidR="00B564CE">
        <w:t xml:space="preserve">Niet alle </w:t>
      </w:r>
      <w:r w:rsidR="00C5653C">
        <w:t>betaaldienstverleners</w:t>
      </w:r>
      <w:r w:rsidR="00B564CE">
        <w:t xml:space="preserve"> hebben</w:t>
      </w:r>
      <w:r w:rsidRPr="00395E05">
        <w:t xml:space="preserve"> deze landen (i</w:t>
      </w:r>
      <w:r w:rsidR="000B3F98">
        <w:t xml:space="preserve">n combinatie met </w:t>
      </w:r>
      <w:r w:rsidRPr="00395E05">
        <w:t xml:space="preserve">stichtingen) in de risicolandenlijst opgenomen. DNB verwacht dat </w:t>
      </w:r>
      <w:r w:rsidR="00C5653C">
        <w:t>betaaldienstverleners</w:t>
      </w:r>
      <w:r w:rsidRPr="00395E05">
        <w:t xml:space="preserve"> de ontwikkelingen op het gebied van </w:t>
      </w:r>
      <w:r w:rsidR="009D4E67">
        <w:t xml:space="preserve">terrorisme en </w:t>
      </w:r>
      <w:r w:rsidRPr="00395E05">
        <w:t>terrorismefinanciering nauwgezet volgen, haar risicolandenlijst hierop aanpassen en dit vervolgens vertalen naar haar transactiemonitoringssysteem.</w:t>
      </w:r>
    </w:p>
    <w:p w:rsidR="008223A8" w:rsidRDefault="008223A8" w:rsidP="008223A8">
      <w:pPr>
        <w:pStyle w:val="Lijstalinea"/>
        <w:ind w:left="0"/>
        <w:rPr>
          <w:i/>
        </w:rPr>
      </w:pPr>
      <w:bookmarkStart w:id="34" w:name="_Toc479794874"/>
      <w:bookmarkStart w:id="35" w:name="_Toc479794943"/>
      <w:bookmarkEnd w:id="34"/>
      <w:bookmarkEnd w:id="35"/>
    </w:p>
    <w:p w:rsidR="008223A8" w:rsidRPr="00C64DC9" w:rsidRDefault="008223A8" w:rsidP="008223A8">
      <w:pPr>
        <w:pStyle w:val="Kop3"/>
        <w:rPr>
          <w:szCs w:val="17"/>
        </w:rPr>
      </w:pPr>
      <w:bookmarkStart w:id="36" w:name="_Toc483922740"/>
      <w:r w:rsidRPr="00C64DC9">
        <w:lastRenderedPageBreak/>
        <w:t>Periodieke evaluatie van business rules: back testing</w:t>
      </w:r>
      <w:bookmarkEnd w:id="36"/>
    </w:p>
    <w:p w:rsidR="008223A8" w:rsidRPr="00C64DC9" w:rsidRDefault="008223A8" w:rsidP="008223A8">
      <w:pPr>
        <w:pStyle w:val="Lijstalinea"/>
        <w:ind w:left="0"/>
        <w:rPr>
          <w:szCs w:val="17"/>
        </w:rPr>
      </w:pPr>
    </w:p>
    <w:p w:rsidR="008223A8" w:rsidRDefault="008223A8" w:rsidP="008223A8">
      <w:pPr>
        <w:pStyle w:val="Lijstalinea"/>
        <w:pBdr>
          <w:top w:val="single" w:sz="4" w:space="1" w:color="auto"/>
          <w:left w:val="single" w:sz="4" w:space="4" w:color="auto"/>
          <w:bottom w:val="single" w:sz="4" w:space="1" w:color="auto"/>
          <w:right w:val="single" w:sz="4" w:space="4" w:color="auto"/>
        </w:pBdr>
        <w:shd w:val="clear" w:color="auto" w:fill="BDD6EE" w:themeFill="accent1" w:themeFillTint="66"/>
        <w:ind w:left="0"/>
        <w:rPr>
          <w:szCs w:val="17"/>
        </w:rPr>
      </w:pPr>
      <w:r>
        <w:rPr>
          <w:szCs w:val="17"/>
        </w:rPr>
        <w:t>DNB constateerde dat</w:t>
      </w:r>
      <w:r w:rsidR="007A5AA6">
        <w:rPr>
          <w:szCs w:val="17"/>
        </w:rPr>
        <w:t xml:space="preserve"> niet alle</w:t>
      </w:r>
      <w:r>
        <w:rPr>
          <w:szCs w:val="17"/>
        </w:rPr>
        <w:t xml:space="preserve"> </w:t>
      </w:r>
      <w:r w:rsidR="00C5653C">
        <w:rPr>
          <w:szCs w:val="17"/>
        </w:rPr>
        <w:t>betaaldienst</w:t>
      </w:r>
      <w:r w:rsidR="007A5AA6">
        <w:rPr>
          <w:szCs w:val="17"/>
        </w:rPr>
        <w:t>instellingen</w:t>
      </w:r>
      <w:r>
        <w:rPr>
          <w:szCs w:val="17"/>
        </w:rPr>
        <w:t xml:space="preserve"> hun business rules periodiek onderhouden </w:t>
      </w:r>
      <w:r w:rsidR="007A5AA6">
        <w:rPr>
          <w:szCs w:val="17"/>
        </w:rPr>
        <w:t>en</w:t>
      </w:r>
      <w:r>
        <w:rPr>
          <w:szCs w:val="17"/>
        </w:rPr>
        <w:t xml:space="preserve"> testen op effectiviteit. </w:t>
      </w:r>
    </w:p>
    <w:p w:rsidR="008223A8" w:rsidRDefault="008223A8" w:rsidP="008223A8">
      <w:pPr>
        <w:pStyle w:val="Lijstalinea"/>
        <w:ind w:left="0"/>
        <w:rPr>
          <w:szCs w:val="17"/>
        </w:rPr>
      </w:pPr>
    </w:p>
    <w:p w:rsidR="007B3958" w:rsidRPr="00C00ADD" w:rsidRDefault="008223A8" w:rsidP="008223A8">
      <w:pPr>
        <w:pStyle w:val="Lijstalinea"/>
        <w:ind w:left="0"/>
        <w:rPr>
          <w:szCs w:val="17"/>
        </w:rPr>
      </w:pPr>
      <w:r>
        <w:rPr>
          <w:szCs w:val="17"/>
        </w:rPr>
        <w:t xml:space="preserve">DNB verwacht dat </w:t>
      </w:r>
      <w:r w:rsidR="00C5653C">
        <w:rPr>
          <w:szCs w:val="17"/>
        </w:rPr>
        <w:t>betaaldienstverleners</w:t>
      </w:r>
      <w:r>
        <w:rPr>
          <w:szCs w:val="17"/>
        </w:rPr>
        <w:t xml:space="preserve"> </w:t>
      </w:r>
      <w:r w:rsidRPr="00C00ADD">
        <w:rPr>
          <w:szCs w:val="17"/>
        </w:rPr>
        <w:t xml:space="preserve">de effectiviteit </w:t>
      </w:r>
      <w:r>
        <w:rPr>
          <w:szCs w:val="17"/>
        </w:rPr>
        <w:t>van het</w:t>
      </w:r>
      <w:r w:rsidRPr="00C00ADD">
        <w:rPr>
          <w:szCs w:val="17"/>
        </w:rPr>
        <w:t xml:space="preserve"> </w:t>
      </w:r>
      <w:r>
        <w:rPr>
          <w:szCs w:val="17"/>
        </w:rPr>
        <w:t>transactiemonitoringssysteem</w:t>
      </w:r>
      <w:r w:rsidRPr="00C00ADD">
        <w:rPr>
          <w:szCs w:val="17"/>
        </w:rPr>
        <w:t xml:space="preserve"> op het gewenste niveau krijgen en behouden</w:t>
      </w:r>
      <w:r>
        <w:rPr>
          <w:szCs w:val="17"/>
        </w:rPr>
        <w:t xml:space="preserve">. In dit verband verwacht DNB dat het systeem periodiek wordt geëvalueerd. Doel van een dergelijke periodieke evaluatie is te beoordelen of in gebruik zijnde business rules te grofmazig zijn ingesteld, bijvoorbeeld of er sprake is van (te) hoge grenswaarden, waardoor nauwelijks sprake is van alerts op een bepaalde business rule. Deze evaluatie kan plaatsvinden door middel van het </w:t>
      </w:r>
      <w:r w:rsidRPr="00C00ADD">
        <w:rPr>
          <w:szCs w:val="17"/>
        </w:rPr>
        <w:t xml:space="preserve">zogenoemde </w:t>
      </w:r>
      <w:r w:rsidRPr="008E3B1C">
        <w:rPr>
          <w:i/>
          <w:szCs w:val="17"/>
        </w:rPr>
        <w:t>back testing</w:t>
      </w:r>
      <w:r w:rsidRPr="00C00ADD">
        <w:rPr>
          <w:szCs w:val="17"/>
        </w:rPr>
        <w:t xml:space="preserve">. </w:t>
      </w:r>
      <w:r>
        <w:rPr>
          <w:szCs w:val="17"/>
        </w:rPr>
        <w:t xml:space="preserve">Op basis </w:t>
      </w:r>
      <w:r w:rsidRPr="00C00ADD">
        <w:rPr>
          <w:szCs w:val="17"/>
        </w:rPr>
        <w:t>van de uitkomsten</w:t>
      </w:r>
      <w:r>
        <w:rPr>
          <w:szCs w:val="17"/>
        </w:rPr>
        <w:t xml:space="preserve"> van de uitgevoerde back test brengt de </w:t>
      </w:r>
      <w:r w:rsidR="007A5AA6">
        <w:rPr>
          <w:szCs w:val="17"/>
        </w:rPr>
        <w:t>betaaldienstverlener</w:t>
      </w:r>
      <w:r w:rsidRPr="00C00ADD">
        <w:rPr>
          <w:szCs w:val="17"/>
        </w:rPr>
        <w:t xml:space="preserve"> eventuele aanpassingen</w:t>
      </w:r>
      <w:r>
        <w:rPr>
          <w:szCs w:val="17"/>
        </w:rPr>
        <w:t xml:space="preserve"> of toevoegingen</w:t>
      </w:r>
      <w:r w:rsidRPr="00C00ADD">
        <w:rPr>
          <w:szCs w:val="17"/>
        </w:rPr>
        <w:t xml:space="preserve"> </w:t>
      </w:r>
      <w:r>
        <w:rPr>
          <w:szCs w:val="17"/>
        </w:rPr>
        <w:t>aan in de business rules van haar transactiemonitoringssysteem</w:t>
      </w:r>
      <w:r w:rsidRPr="00C00ADD">
        <w:rPr>
          <w:szCs w:val="17"/>
        </w:rPr>
        <w:t xml:space="preserve">. </w:t>
      </w:r>
      <w:r>
        <w:rPr>
          <w:szCs w:val="17"/>
        </w:rPr>
        <w:t xml:space="preserve">Een </w:t>
      </w:r>
      <w:r w:rsidR="007A5AA6">
        <w:rPr>
          <w:szCs w:val="17"/>
        </w:rPr>
        <w:t>instelling</w:t>
      </w:r>
      <w:r>
        <w:rPr>
          <w:szCs w:val="17"/>
        </w:rPr>
        <w:t xml:space="preserve"> kan verschillende manieren van back testing toepassen, zoals het uitvoeren van een back </w:t>
      </w:r>
      <w:r w:rsidRPr="00C00ADD">
        <w:rPr>
          <w:szCs w:val="17"/>
        </w:rPr>
        <w:t xml:space="preserve">test </w:t>
      </w:r>
      <w:r>
        <w:rPr>
          <w:szCs w:val="17"/>
        </w:rPr>
        <w:t>w</w:t>
      </w:r>
      <w:r w:rsidRPr="00C00ADD">
        <w:rPr>
          <w:szCs w:val="17"/>
        </w:rPr>
        <w:t xml:space="preserve">aarbij business rules met veel of alleen maar </w:t>
      </w:r>
      <w:r w:rsidRPr="008E3B1C">
        <w:rPr>
          <w:i/>
          <w:szCs w:val="17"/>
        </w:rPr>
        <w:t>false positive</w:t>
      </w:r>
      <w:r w:rsidRPr="00C00ADD">
        <w:rPr>
          <w:szCs w:val="17"/>
        </w:rPr>
        <w:t xml:space="preserve"> alerts worden geanalyseerd. Het doel van deze test is onder meer voor de toekomst meer </w:t>
      </w:r>
      <w:r w:rsidRPr="008E3B1C">
        <w:rPr>
          <w:i/>
          <w:szCs w:val="17"/>
        </w:rPr>
        <w:t>true positive</w:t>
      </w:r>
      <w:r w:rsidRPr="00C00ADD">
        <w:rPr>
          <w:szCs w:val="17"/>
        </w:rPr>
        <w:t xml:space="preserve"> alerts te generen op de business rules, door deze na de test dusdanig aan te passen dat ze het gewenste resultaat bereiken. Doel</w:t>
      </w:r>
      <w:r>
        <w:rPr>
          <w:szCs w:val="17"/>
        </w:rPr>
        <w:t xml:space="preserve"> van de back test</w:t>
      </w:r>
      <w:r w:rsidRPr="00C00ADD">
        <w:rPr>
          <w:szCs w:val="17"/>
        </w:rPr>
        <w:t xml:space="preserve"> is om de effectiviteit van business rules te testen.</w:t>
      </w:r>
    </w:p>
    <w:p w:rsidR="00FE3884" w:rsidRPr="00FE3884" w:rsidRDefault="00FE3884" w:rsidP="00B67AC3">
      <w:pPr>
        <w:pStyle w:val="Kop3"/>
      </w:pPr>
      <w:bookmarkStart w:id="37" w:name="_Toc483922741"/>
      <w:r>
        <w:t>Data-analyse</w:t>
      </w:r>
      <w:bookmarkEnd w:id="37"/>
    </w:p>
    <w:p w:rsidR="002068E7" w:rsidRDefault="00A62503" w:rsidP="00B77563">
      <w:pPr>
        <w:widowControl w:val="0"/>
        <w:rPr>
          <w:szCs w:val="17"/>
        </w:rPr>
      </w:pPr>
      <w:r>
        <w:rPr>
          <w:szCs w:val="17"/>
        </w:rPr>
        <w:t xml:space="preserve">DNB constateert dat </w:t>
      </w:r>
      <w:r w:rsidR="007A5AA6">
        <w:rPr>
          <w:szCs w:val="17"/>
        </w:rPr>
        <w:t xml:space="preserve">een aantal </w:t>
      </w:r>
      <w:r w:rsidR="00C5653C">
        <w:rPr>
          <w:szCs w:val="17"/>
        </w:rPr>
        <w:t>betaaldienstverleners</w:t>
      </w:r>
      <w:r>
        <w:rPr>
          <w:szCs w:val="17"/>
        </w:rPr>
        <w:t xml:space="preserve"> initiatieven </w:t>
      </w:r>
      <w:r w:rsidR="00B564CE">
        <w:rPr>
          <w:szCs w:val="17"/>
        </w:rPr>
        <w:t xml:space="preserve">nemen </w:t>
      </w:r>
      <w:r>
        <w:rPr>
          <w:szCs w:val="17"/>
        </w:rPr>
        <w:t xml:space="preserve">om </w:t>
      </w:r>
      <w:r w:rsidR="00492651">
        <w:rPr>
          <w:szCs w:val="17"/>
        </w:rPr>
        <w:t>te komen tot meer</w:t>
      </w:r>
      <w:r>
        <w:rPr>
          <w:szCs w:val="17"/>
        </w:rPr>
        <w:t xml:space="preserve"> geavanceerde technologieën</w:t>
      </w:r>
      <w:r w:rsidR="009D4E67">
        <w:rPr>
          <w:szCs w:val="17"/>
        </w:rPr>
        <w:t xml:space="preserve"> om</w:t>
      </w:r>
      <w:r>
        <w:rPr>
          <w:szCs w:val="17"/>
        </w:rPr>
        <w:t xml:space="preserve"> transactiedata en cli</w:t>
      </w:r>
      <w:r w:rsidR="009252BA">
        <w:rPr>
          <w:szCs w:val="17"/>
        </w:rPr>
        <w:t>ë</w:t>
      </w:r>
      <w:r>
        <w:rPr>
          <w:szCs w:val="17"/>
        </w:rPr>
        <w:t xml:space="preserve">ntdata te analyseren. </w:t>
      </w:r>
      <w:r w:rsidR="00C5653C">
        <w:rPr>
          <w:szCs w:val="17"/>
        </w:rPr>
        <w:t>Betaaldienstverleners</w:t>
      </w:r>
      <w:r w:rsidR="00E74FFB" w:rsidRPr="00C00ADD">
        <w:rPr>
          <w:szCs w:val="17"/>
        </w:rPr>
        <w:t xml:space="preserve"> beschikken over een grote hoeveelheid (historische) data die kan worden ingezet om </w:t>
      </w:r>
      <w:r w:rsidR="00492651">
        <w:rPr>
          <w:szCs w:val="17"/>
        </w:rPr>
        <w:t xml:space="preserve">het </w:t>
      </w:r>
      <w:r w:rsidR="00E74FFB" w:rsidRPr="00C00ADD">
        <w:rPr>
          <w:szCs w:val="17"/>
        </w:rPr>
        <w:t xml:space="preserve">transactiegedrag van individuele cliënten, dan wel </w:t>
      </w:r>
      <w:r w:rsidR="002220F6">
        <w:rPr>
          <w:szCs w:val="17"/>
        </w:rPr>
        <w:t xml:space="preserve">transactiepatronen en </w:t>
      </w:r>
      <w:r w:rsidR="00E74FFB" w:rsidRPr="00C00ADD">
        <w:rPr>
          <w:szCs w:val="17"/>
        </w:rPr>
        <w:t xml:space="preserve">netwerken van cliënten beter te voorspellen, </w:t>
      </w:r>
      <w:r w:rsidR="00492651">
        <w:rPr>
          <w:szCs w:val="17"/>
        </w:rPr>
        <w:t xml:space="preserve">te </w:t>
      </w:r>
      <w:r w:rsidR="00E74FFB" w:rsidRPr="00C00ADD">
        <w:rPr>
          <w:szCs w:val="17"/>
        </w:rPr>
        <w:t xml:space="preserve">analyseren en uiteindelijk ook </w:t>
      </w:r>
      <w:r w:rsidR="006C40AC">
        <w:rPr>
          <w:szCs w:val="17"/>
        </w:rPr>
        <w:t xml:space="preserve">te </w:t>
      </w:r>
      <w:r w:rsidR="00E74FFB" w:rsidRPr="00C00ADD">
        <w:rPr>
          <w:szCs w:val="17"/>
        </w:rPr>
        <w:t xml:space="preserve">beoordelen. DNB moedigt </w:t>
      </w:r>
      <w:r w:rsidR="00C5653C">
        <w:rPr>
          <w:szCs w:val="17"/>
        </w:rPr>
        <w:t>betaaldienstverleners</w:t>
      </w:r>
      <w:r w:rsidR="00E74FFB" w:rsidRPr="00C00ADD">
        <w:rPr>
          <w:szCs w:val="17"/>
        </w:rPr>
        <w:t xml:space="preserve"> aan </w:t>
      </w:r>
      <w:r w:rsidR="009D4E67">
        <w:rPr>
          <w:szCs w:val="17"/>
        </w:rPr>
        <w:t xml:space="preserve">geavanceerde </w:t>
      </w:r>
      <w:r w:rsidR="00E74FFB" w:rsidRPr="00C00ADD">
        <w:rPr>
          <w:szCs w:val="17"/>
        </w:rPr>
        <w:t>data</w:t>
      </w:r>
      <w:r w:rsidR="00E74FFB">
        <w:rPr>
          <w:szCs w:val="17"/>
        </w:rPr>
        <w:t>-</w:t>
      </w:r>
      <w:r w:rsidR="00E74FFB" w:rsidRPr="00C00ADD">
        <w:rPr>
          <w:szCs w:val="17"/>
        </w:rPr>
        <w:t xml:space="preserve">analyse en </w:t>
      </w:r>
      <w:r w:rsidR="00E74FFB" w:rsidRPr="008E3B1C">
        <w:rPr>
          <w:i/>
          <w:szCs w:val="17"/>
        </w:rPr>
        <w:t>artificial intelligence</w:t>
      </w:r>
      <w:r w:rsidR="006C40AC">
        <w:rPr>
          <w:rStyle w:val="Voetnootmarkering"/>
          <w:szCs w:val="17"/>
        </w:rPr>
        <w:footnoteReference w:id="16"/>
      </w:r>
      <w:r w:rsidR="00E74FFB" w:rsidRPr="00C00ADD">
        <w:rPr>
          <w:szCs w:val="17"/>
        </w:rPr>
        <w:t xml:space="preserve"> </w:t>
      </w:r>
      <w:r w:rsidR="001B3288">
        <w:rPr>
          <w:szCs w:val="17"/>
        </w:rPr>
        <w:t>in te zetten bij de uitvoering van haar</w:t>
      </w:r>
      <w:r w:rsidR="00E74FFB">
        <w:rPr>
          <w:szCs w:val="17"/>
        </w:rPr>
        <w:t xml:space="preserve"> </w:t>
      </w:r>
      <w:r w:rsidR="00E74FFB" w:rsidRPr="00C00ADD">
        <w:rPr>
          <w:szCs w:val="17"/>
        </w:rPr>
        <w:t xml:space="preserve">transactiemonitoring. </w:t>
      </w:r>
      <w:r w:rsidR="002068E7" w:rsidRPr="00C00ADD">
        <w:rPr>
          <w:szCs w:val="17"/>
        </w:rPr>
        <w:t>Geavanceerde technologie</w:t>
      </w:r>
      <w:r w:rsidR="00DB35D0" w:rsidRPr="00C00ADD">
        <w:rPr>
          <w:szCs w:val="17"/>
        </w:rPr>
        <w:t xml:space="preserve"> (zoals </w:t>
      </w:r>
      <w:r w:rsidR="002220F6">
        <w:rPr>
          <w:szCs w:val="17"/>
        </w:rPr>
        <w:t xml:space="preserve">gebruik van </w:t>
      </w:r>
      <w:r w:rsidR="00375E95">
        <w:rPr>
          <w:szCs w:val="17"/>
        </w:rPr>
        <w:t>‘</w:t>
      </w:r>
      <w:r w:rsidR="00DB35D0" w:rsidRPr="00C00ADD">
        <w:rPr>
          <w:szCs w:val="17"/>
        </w:rPr>
        <w:t>big</w:t>
      </w:r>
      <w:r w:rsidR="002220F6">
        <w:rPr>
          <w:szCs w:val="17"/>
        </w:rPr>
        <w:t xml:space="preserve"> </w:t>
      </w:r>
      <w:r w:rsidR="00DB35D0" w:rsidRPr="00C00ADD">
        <w:rPr>
          <w:szCs w:val="17"/>
        </w:rPr>
        <w:t>data</w:t>
      </w:r>
      <w:r w:rsidR="002220F6">
        <w:rPr>
          <w:szCs w:val="17"/>
        </w:rPr>
        <w:t>’</w:t>
      </w:r>
      <w:r w:rsidR="00DB35D0" w:rsidRPr="00C00ADD">
        <w:rPr>
          <w:szCs w:val="17"/>
        </w:rPr>
        <w:t xml:space="preserve"> en data mode</w:t>
      </w:r>
      <w:r w:rsidR="00375E95">
        <w:rPr>
          <w:szCs w:val="17"/>
        </w:rPr>
        <w:t>l</w:t>
      </w:r>
      <w:r w:rsidR="00DB35D0" w:rsidRPr="00C00ADD">
        <w:rPr>
          <w:szCs w:val="17"/>
        </w:rPr>
        <w:t>ing technieken</w:t>
      </w:r>
      <w:r w:rsidR="00DB35D0" w:rsidRPr="002220F6">
        <w:rPr>
          <w:szCs w:val="17"/>
        </w:rPr>
        <w:t>)</w:t>
      </w:r>
      <w:r w:rsidR="009B109C" w:rsidRPr="002220F6">
        <w:rPr>
          <w:szCs w:val="17"/>
        </w:rPr>
        <w:t xml:space="preserve"> v</w:t>
      </w:r>
      <w:r w:rsidR="002068E7" w:rsidRPr="00C00ADD">
        <w:rPr>
          <w:szCs w:val="17"/>
        </w:rPr>
        <w:t xml:space="preserve">ergroot de mogelijkheden van een instelling om </w:t>
      </w:r>
      <w:r w:rsidR="003745FB">
        <w:rPr>
          <w:szCs w:val="17"/>
        </w:rPr>
        <w:t>ongebruikelijke transactie</w:t>
      </w:r>
      <w:r w:rsidR="002068E7" w:rsidRPr="00C00ADD">
        <w:rPr>
          <w:szCs w:val="17"/>
        </w:rPr>
        <w:t xml:space="preserve">patronen en </w:t>
      </w:r>
      <w:r w:rsidR="003745FB">
        <w:rPr>
          <w:szCs w:val="17"/>
        </w:rPr>
        <w:t>afwijkend transactiegedrag</w:t>
      </w:r>
      <w:r w:rsidR="002068E7" w:rsidRPr="00C00ADD">
        <w:rPr>
          <w:szCs w:val="17"/>
        </w:rPr>
        <w:t xml:space="preserve"> op te sporen. </w:t>
      </w:r>
    </w:p>
    <w:p w:rsidR="000978B5" w:rsidRDefault="000978B5" w:rsidP="00B77563">
      <w:pPr>
        <w:widowControl w:val="0"/>
        <w:rPr>
          <w:szCs w:val="17"/>
        </w:rPr>
      </w:pPr>
    </w:p>
    <w:p w:rsidR="000978B5" w:rsidRPr="00910636" w:rsidRDefault="007D0102" w:rsidP="000978B5">
      <w:pPr>
        <w:rPr>
          <w:szCs w:val="17"/>
        </w:rPr>
      </w:pPr>
      <w:r>
        <w:rPr>
          <w:szCs w:val="17"/>
        </w:rPr>
        <w:t>Door het gebruik van meer geavanceerde</w:t>
      </w:r>
      <w:r w:rsidR="000978B5">
        <w:rPr>
          <w:szCs w:val="17"/>
        </w:rPr>
        <w:t xml:space="preserve"> </w:t>
      </w:r>
      <w:r>
        <w:rPr>
          <w:szCs w:val="17"/>
        </w:rPr>
        <w:t>technologie in haar transactiemonitorings</w:t>
      </w:r>
      <w:r w:rsidR="000978B5" w:rsidRPr="00910636">
        <w:rPr>
          <w:szCs w:val="17"/>
        </w:rPr>
        <w:t xml:space="preserve">proces </w:t>
      </w:r>
      <w:r w:rsidR="00FD0636">
        <w:rPr>
          <w:szCs w:val="17"/>
        </w:rPr>
        <w:t>zal</w:t>
      </w:r>
      <w:r w:rsidR="00FD0636" w:rsidRPr="00910636">
        <w:rPr>
          <w:szCs w:val="17"/>
        </w:rPr>
        <w:t xml:space="preserve"> </w:t>
      </w:r>
      <w:r w:rsidR="000978B5" w:rsidRPr="00910636">
        <w:rPr>
          <w:szCs w:val="17"/>
        </w:rPr>
        <w:t xml:space="preserve">een </w:t>
      </w:r>
      <w:r>
        <w:rPr>
          <w:szCs w:val="17"/>
        </w:rPr>
        <w:t>b</w:t>
      </w:r>
      <w:r w:rsidR="007A5AA6">
        <w:rPr>
          <w:szCs w:val="17"/>
        </w:rPr>
        <w:t>etaaldienstverlener</w:t>
      </w:r>
      <w:r w:rsidR="000978B5" w:rsidRPr="00910636">
        <w:rPr>
          <w:szCs w:val="17"/>
        </w:rPr>
        <w:t xml:space="preserve"> haar </w:t>
      </w:r>
      <w:r w:rsidR="000978B5">
        <w:rPr>
          <w:szCs w:val="17"/>
        </w:rPr>
        <w:t>witwas- en terrorismefinancierings</w:t>
      </w:r>
      <w:r w:rsidR="000978B5" w:rsidRPr="00910636">
        <w:rPr>
          <w:szCs w:val="17"/>
        </w:rPr>
        <w:t>risico verminderen</w:t>
      </w:r>
      <w:r>
        <w:rPr>
          <w:szCs w:val="17"/>
        </w:rPr>
        <w:t xml:space="preserve">: de </w:t>
      </w:r>
      <w:r w:rsidR="007A5AA6">
        <w:rPr>
          <w:szCs w:val="17"/>
        </w:rPr>
        <w:t>instelling</w:t>
      </w:r>
      <w:r>
        <w:rPr>
          <w:szCs w:val="17"/>
        </w:rPr>
        <w:t xml:space="preserve"> is effectiever in staat om</w:t>
      </w:r>
      <w:r w:rsidR="000978B5" w:rsidRPr="00910636">
        <w:rPr>
          <w:szCs w:val="17"/>
        </w:rPr>
        <w:t xml:space="preserve"> mogelijk ongebruikelijk gedrag</w:t>
      </w:r>
      <w:r>
        <w:rPr>
          <w:szCs w:val="17"/>
        </w:rPr>
        <w:t xml:space="preserve"> van een cliënt te detecteren</w:t>
      </w:r>
      <w:r w:rsidR="000978B5" w:rsidRPr="00910636">
        <w:rPr>
          <w:szCs w:val="17"/>
        </w:rPr>
        <w:t>. De technologie kan zich richten op verschillende onderdelen van beschikbare data</w:t>
      </w:r>
      <w:r w:rsidR="001B3288">
        <w:rPr>
          <w:szCs w:val="17"/>
        </w:rPr>
        <w:t>,</w:t>
      </w:r>
      <w:r w:rsidR="000978B5" w:rsidRPr="00910636">
        <w:rPr>
          <w:szCs w:val="17"/>
        </w:rPr>
        <w:t xml:space="preserve"> zoals:</w:t>
      </w:r>
    </w:p>
    <w:p w:rsidR="006F1CBD" w:rsidRDefault="006F1CBD" w:rsidP="008E3B1C">
      <w:pPr>
        <w:pStyle w:val="Lijstalinea"/>
        <w:widowControl w:val="0"/>
        <w:numPr>
          <w:ilvl w:val="0"/>
          <w:numId w:val="6"/>
        </w:numPr>
        <w:rPr>
          <w:szCs w:val="17"/>
        </w:rPr>
      </w:pPr>
      <w:r w:rsidRPr="000978B5">
        <w:rPr>
          <w:szCs w:val="17"/>
        </w:rPr>
        <w:t>P</w:t>
      </w:r>
      <w:r w:rsidR="000978B5" w:rsidRPr="000978B5">
        <w:rPr>
          <w:szCs w:val="17"/>
        </w:rPr>
        <w:t>atroonanalyses</w:t>
      </w:r>
      <w:r>
        <w:rPr>
          <w:szCs w:val="17"/>
        </w:rPr>
        <w:t>, en;</w:t>
      </w:r>
    </w:p>
    <w:p w:rsidR="000978B5" w:rsidRPr="00550190" w:rsidRDefault="00E02F2C" w:rsidP="008E3B1C">
      <w:pPr>
        <w:pStyle w:val="Lijstalinea"/>
        <w:widowControl w:val="0"/>
        <w:numPr>
          <w:ilvl w:val="0"/>
          <w:numId w:val="6"/>
        </w:numPr>
        <w:rPr>
          <w:szCs w:val="17"/>
        </w:rPr>
      </w:pPr>
      <w:r w:rsidRPr="00550190">
        <w:rPr>
          <w:szCs w:val="17"/>
        </w:rPr>
        <w:t>N</w:t>
      </w:r>
      <w:r w:rsidR="000978B5" w:rsidRPr="00550190">
        <w:rPr>
          <w:szCs w:val="17"/>
        </w:rPr>
        <w:t>etwerkanalyses</w:t>
      </w:r>
      <w:r w:rsidR="00AF141C" w:rsidRPr="00550190">
        <w:rPr>
          <w:szCs w:val="17"/>
        </w:rPr>
        <w:t xml:space="preserve"> </w:t>
      </w:r>
      <w:r w:rsidR="008F5FF8" w:rsidRPr="00550190">
        <w:rPr>
          <w:szCs w:val="17"/>
        </w:rPr>
        <w:t xml:space="preserve">uitvoeren </w:t>
      </w:r>
      <w:r w:rsidR="00AF141C" w:rsidRPr="00550190">
        <w:rPr>
          <w:szCs w:val="17"/>
        </w:rPr>
        <w:t xml:space="preserve">om onderlinge verbanden </w:t>
      </w:r>
      <w:r w:rsidR="0052544A" w:rsidRPr="00550190">
        <w:rPr>
          <w:szCs w:val="17"/>
        </w:rPr>
        <w:t xml:space="preserve">tussen transacties </w:t>
      </w:r>
      <w:r w:rsidR="00AF141C" w:rsidRPr="00550190">
        <w:rPr>
          <w:szCs w:val="17"/>
        </w:rPr>
        <w:t>te detecteren</w:t>
      </w:r>
      <w:r w:rsidRPr="00550190">
        <w:rPr>
          <w:szCs w:val="17"/>
        </w:rPr>
        <w:t>;</w:t>
      </w:r>
    </w:p>
    <w:p w:rsidR="006F1CBD" w:rsidRPr="00550190" w:rsidRDefault="006F1CBD" w:rsidP="008E3B1C">
      <w:pPr>
        <w:pStyle w:val="Lijstalinea"/>
        <w:widowControl w:val="0"/>
        <w:numPr>
          <w:ilvl w:val="0"/>
          <w:numId w:val="6"/>
        </w:numPr>
        <w:rPr>
          <w:szCs w:val="17"/>
        </w:rPr>
      </w:pPr>
      <w:r w:rsidRPr="00550190">
        <w:rPr>
          <w:szCs w:val="17"/>
        </w:rPr>
        <w:t>Peer-group analyses; het transactiegedrag van de merchant</w:t>
      </w:r>
      <w:r w:rsidR="0038161D">
        <w:rPr>
          <w:szCs w:val="17"/>
        </w:rPr>
        <w:t xml:space="preserve"> wordt aan de hand van patroon</w:t>
      </w:r>
      <w:r w:rsidRPr="00550190">
        <w:rPr>
          <w:szCs w:val="17"/>
        </w:rPr>
        <w:t>analyse vergeleken met het transactiegedrag van haar peers</w:t>
      </w:r>
      <w:r w:rsidR="00E02F2C" w:rsidRPr="00550190">
        <w:rPr>
          <w:szCs w:val="17"/>
        </w:rPr>
        <w:t>.</w:t>
      </w:r>
    </w:p>
    <w:p w:rsidR="000A563E" w:rsidRDefault="000A563E" w:rsidP="00B77563">
      <w:pPr>
        <w:widowControl w:val="0"/>
        <w:rPr>
          <w:szCs w:val="17"/>
        </w:rPr>
      </w:pPr>
    </w:p>
    <w:p w:rsidR="002245DB" w:rsidRDefault="002245DB" w:rsidP="00B77563">
      <w:pPr>
        <w:widowControl w:val="0"/>
        <w:rPr>
          <w:szCs w:val="17"/>
        </w:rPr>
      </w:pPr>
      <w:r>
        <w:rPr>
          <w:szCs w:val="17"/>
        </w:rPr>
        <w:t xml:space="preserve">DNB trof het volgende voorbeeld aan als </w:t>
      </w:r>
      <w:r w:rsidR="009E06A5">
        <w:rPr>
          <w:szCs w:val="17"/>
        </w:rPr>
        <w:t xml:space="preserve">een </w:t>
      </w:r>
      <w:r>
        <w:rPr>
          <w:szCs w:val="17"/>
        </w:rPr>
        <w:t>‘good pra</w:t>
      </w:r>
      <w:r w:rsidR="009E06A5">
        <w:rPr>
          <w:szCs w:val="17"/>
        </w:rPr>
        <w:t>c</w:t>
      </w:r>
      <w:r>
        <w:rPr>
          <w:szCs w:val="17"/>
        </w:rPr>
        <w:t xml:space="preserve">tice’ </w:t>
      </w:r>
      <w:r w:rsidR="009E06A5">
        <w:rPr>
          <w:szCs w:val="17"/>
        </w:rPr>
        <w:t xml:space="preserve">van </w:t>
      </w:r>
      <w:r>
        <w:rPr>
          <w:szCs w:val="17"/>
        </w:rPr>
        <w:t>data-analyse.</w:t>
      </w:r>
    </w:p>
    <w:p w:rsidR="002245DB" w:rsidRDefault="002245DB" w:rsidP="00B77563">
      <w:pPr>
        <w:widowControl w:val="0"/>
        <w:rPr>
          <w:szCs w:val="17"/>
        </w:rPr>
      </w:pPr>
    </w:p>
    <w:tbl>
      <w:tblPr>
        <w:tblStyle w:val="Tabelraster"/>
        <w:tblW w:w="8926" w:type="dxa"/>
        <w:tblLook w:val="04A0" w:firstRow="1" w:lastRow="0" w:firstColumn="1" w:lastColumn="0" w:noHBand="0" w:noVBand="1"/>
      </w:tblPr>
      <w:tblGrid>
        <w:gridCol w:w="8926"/>
      </w:tblGrid>
      <w:tr w:rsidR="000A563E" w:rsidTr="00B67AC3">
        <w:tc>
          <w:tcPr>
            <w:tcW w:w="8926" w:type="dxa"/>
            <w:shd w:val="clear" w:color="auto" w:fill="BDD6EE" w:themeFill="accent1" w:themeFillTint="66"/>
          </w:tcPr>
          <w:p w:rsidR="00A43839" w:rsidRPr="00A43839" w:rsidRDefault="00A43839" w:rsidP="008F5FF8">
            <w:pPr>
              <w:rPr>
                <w:b/>
              </w:rPr>
            </w:pPr>
            <w:r w:rsidRPr="00A43839">
              <w:rPr>
                <w:b/>
              </w:rPr>
              <w:t>Good practice</w:t>
            </w:r>
          </w:p>
          <w:p w:rsidR="000A563E" w:rsidRDefault="000978B5" w:rsidP="008F5FF8">
            <w:r>
              <w:t xml:space="preserve">Een </w:t>
            </w:r>
            <w:r w:rsidR="003E2714">
              <w:t>betaaldienstverlener</w:t>
            </w:r>
            <w:r w:rsidR="000A563E">
              <w:t xml:space="preserve"> beschikt over een zelflerend systeem (gebaseerd op ‘artificial intelligence’) </w:t>
            </w:r>
            <w:r w:rsidR="0052544A">
              <w:t>waarin</w:t>
            </w:r>
            <w:r w:rsidR="000A563E">
              <w:t xml:space="preserve"> data vanuit meerdere bronnen geïmporteerd </w:t>
            </w:r>
            <w:r w:rsidR="0052544A">
              <w:t xml:space="preserve">wordt </w:t>
            </w:r>
            <w:r w:rsidR="000A563E">
              <w:t xml:space="preserve">om vervolgens real-time geldstromen in kaart te brengen. Hierbij zijn historische transacties bepalend </w:t>
            </w:r>
            <w:r w:rsidR="008F5FF8">
              <w:t xml:space="preserve">om </w:t>
            </w:r>
            <w:r w:rsidR="000A563E">
              <w:t>het mogelijk ongebruikelijke karakter van</w:t>
            </w:r>
            <w:r w:rsidR="00AF141C">
              <w:t xml:space="preserve"> te verwachten transacties</w:t>
            </w:r>
            <w:r w:rsidR="008F5FF8">
              <w:t xml:space="preserve"> vast te stellen</w:t>
            </w:r>
            <w:r w:rsidR="00AF141C">
              <w:t>.</w:t>
            </w:r>
          </w:p>
        </w:tc>
      </w:tr>
    </w:tbl>
    <w:p w:rsidR="007B3958" w:rsidRDefault="007B3958" w:rsidP="00D861C3">
      <w:bookmarkStart w:id="38" w:name="_Toc479794876"/>
      <w:bookmarkStart w:id="39" w:name="_Toc479794945"/>
      <w:bookmarkEnd w:id="38"/>
      <w:bookmarkEnd w:id="39"/>
    </w:p>
    <w:p w:rsidR="00CB3598" w:rsidRPr="00C00ADD" w:rsidRDefault="00CB3598" w:rsidP="00B67AC3">
      <w:pPr>
        <w:pStyle w:val="Kop3"/>
      </w:pPr>
      <w:bookmarkStart w:id="40" w:name="_Toc483922742"/>
      <w:r>
        <w:t>Transactie</w:t>
      </w:r>
      <w:r w:rsidRPr="00C00ADD">
        <w:t>patroonanalyses</w:t>
      </w:r>
      <w:bookmarkEnd w:id="40"/>
    </w:p>
    <w:p w:rsidR="00CB3598" w:rsidRDefault="00CB3598" w:rsidP="00CB3598">
      <w:pPr>
        <w:rPr>
          <w:szCs w:val="17"/>
        </w:rPr>
      </w:pPr>
      <w:r>
        <w:rPr>
          <w:szCs w:val="17"/>
        </w:rPr>
        <w:t>Met behulp van het t</w:t>
      </w:r>
      <w:r w:rsidRPr="00C00ADD">
        <w:rPr>
          <w:szCs w:val="17"/>
        </w:rPr>
        <w:t>ransactiemonitoring</w:t>
      </w:r>
      <w:r>
        <w:rPr>
          <w:szCs w:val="17"/>
        </w:rPr>
        <w:t>s</w:t>
      </w:r>
      <w:r w:rsidRPr="00C00ADD">
        <w:rPr>
          <w:szCs w:val="17"/>
        </w:rPr>
        <w:t>syst</w:t>
      </w:r>
      <w:r>
        <w:rPr>
          <w:szCs w:val="17"/>
        </w:rPr>
        <w:t>e</w:t>
      </w:r>
      <w:r w:rsidRPr="00C00ADD">
        <w:rPr>
          <w:szCs w:val="17"/>
        </w:rPr>
        <w:t>em</w:t>
      </w:r>
      <w:r>
        <w:rPr>
          <w:szCs w:val="17"/>
        </w:rPr>
        <w:t xml:space="preserve"> kunnen </w:t>
      </w:r>
      <w:r w:rsidR="00C5653C">
        <w:rPr>
          <w:szCs w:val="17"/>
        </w:rPr>
        <w:t>betaaldienstverleners</w:t>
      </w:r>
      <w:r>
        <w:rPr>
          <w:szCs w:val="17"/>
        </w:rPr>
        <w:t xml:space="preserve"> </w:t>
      </w:r>
      <w:r w:rsidRPr="0015014D">
        <w:rPr>
          <w:szCs w:val="17"/>
        </w:rPr>
        <w:t>transactiepatronen of netwerken en combinaties van transacties</w:t>
      </w:r>
      <w:r w:rsidRPr="00C00ADD">
        <w:rPr>
          <w:szCs w:val="17"/>
        </w:rPr>
        <w:t xml:space="preserve"> detecteren. </w:t>
      </w:r>
      <w:r>
        <w:rPr>
          <w:szCs w:val="17"/>
        </w:rPr>
        <w:t>Hiero</w:t>
      </w:r>
      <w:r w:rsidRPr="00C00ADD">
        <w:rPr>
          <w:szCs w:val="17"/>
        </w:rPr>
        <w:t xml:space="preserve">nder wordt verstaan een samenstel van transacties </w:t>
      </w:r>
      <w:r>
        <w:rPr>
          <w:szCs w:val="17"/>
        </w:rPr>
        <w:t xml:space="preserve">die op geaggregeerd niveau </w:t>
      </w:r>
      <w:r w:rsidRPr="00C00ADD">
        <w:rPr>
          <w:szCs w:val="17"/>
        </w:rPr>
        <w:t xml:space="preserve">op witwassen </w:t>
      </w:r>
      <w:r>
        <w:rPr>
          <w:szCs w:val="17"/>
        </w:rPr>
        <w:t>of</w:t>
      </w:r>
      <w:r w:rsidRPr="00C00ADD">
        <w:rPr>
          <w:szCs w:val="17"/>
        </w:rPr>
        <w:t xml:space="preserve"> terrorismefinanciering </w:t>
      </w:r>
      <w:r>
        <w:rPr>
          <w:szCs w:val="17"/>
        </w:rPr>
        <w:t>(kunnen) duiden</w:t>
      </w:r>
      <w:r w:rsidRPr="00C00ADD">
        <w:rPr>
          <w:szCs w:val="17"/>
        </w:rPr>
        <w:t xml:space="preserve">. DNB </w:t>
      </w:r>
      <w:r>
        <w:rPr>
          <w:szCs w:val="17"/>
        </w:rPr>
        <w:t xml:space="preserve">moedigt </w:t>
      </w:r>
      <w:r w:rsidRPr="00C00ADD">
        <w:rPr>
          <w:szCs w:val="17"/>
        </w:rPr>
        <w:t>het gebruik van voorspellende data-analyse (</w:t>
      </w:r>
      <w:r w:rsidRPr="008E3B1C">
        <w:rPr>
          <w:i/>
          <w:szCs w:val="17"/>
        </w:rPr>
        <w:t>predictive analytics</w:t>
      </w:r>
      <w:r w:rsidRPr="00C00ADD">
        <w:rPr>
          <w:szCs w:val="17"/>
        </w:rPr>
        <w:t>) aan om de e</w:t>
      </w:r>
      <w:r>
        <w:rPr>
          <w:szCs w:val="17"/>
        </w:rPr>
        <w:t>ffectiviteit van de</w:t>
      </w:r>
      <w:r w:rsidRPr="00C00ADD">
        <w:rPr>
          <w:szCs w:val="17"/>
        </w:rPr>
        <w:t xml:space="preserve"> transactiemonitoring te vergroten. Predictive analytics zou de mogelijkheid kunnen bieden om volledig geautomatiseerd en standaard bredere transactiepatronen en -structuren en netwerken van transactie</w:t>
      </w:r>
      <w:r>
        <w:rPr>
          <w:szCs w:val="17"/>
        </w:rPr>
        <w:t>s</w:t>
      </w:r>
      <w:r w:rsidRPr="00C00ADD">
        <w:rPr>
          <w:szCs w:val="17"/>
        </w:rPr>
        <w:t xml:space="preserve"> te detecteren. </w:t>
      </w:r>
    </w:p>
    <w:p w:rsidR="0038161D" w:rsidRDefault="0038161D" w:rsidP="00CB3598">
      <w:pPr>
        <w:rPr>
          <w:szCs w:val="17"/>
        </w:rPr>
      </w:pPr>
    </w:p>
    <w:p w:rsidR="00FE3884" w:rsidRDefault="00614F4F" w:rsidP="00B67AC3">
      <w:pPr>
        <w:pStyle w:val="Kop3"/>
      </w:pPr>
      <w:bookmarkStart w:id="41" w:name="_Toc479794878"/>
      <w:bookmarkStart w:id="42" w:name="_Toc479794947"/>
      <w:bookmarkStart w:id="43" w:name="_Toc479794880"/>
      <w:bookmarkStart w:id="44" w:name="_Toc479794949"/>
      <w:bookmarkStart w:id="45" w:name="_Toc479794881"/>
      <w:bookmarkStart w:id="46" w:name="_Toc479794950"/>
      <w:bookmarkStart w:id="47" w:name="_Toc483922743"/>
      <w:bookmarkStart w:id="48" w:name="_Toc467164961"/>
      <w:bookmarkEnd w:id="41"/>
      <w:bookmarkEnd w:id="42"/>
      <w:bookmarkEnd w:id="43"/>
      <w:bookmarkEnd w:id="44"/>
      <w:bookmarkEnd w:id="45"/>
      <w:bookmarkEnd w:id="46"/>
      <w:r w:rsidRPr="00734EFD">
        <w:lastRenderedPageBreak/>
        <w:t>IT-beheersingsmaatregelen transactiemonitoring</w:t>
      </w:r>
      <w:bookmarkEnd w:id="47"/>
    </w:p>
    <w:p w:rsidR="00897AB3" w:rsidRPr="00897AB3" w:rsidRDefault="00897AB3" w:rsidP="00897AB3"/>
    <w:p w:rsidR="00244A06" w:rsidRDefault="00244A06" w:rsidP="008223A8">
      <w:pPr>
        <w:pBdr>
          <w:top w:val="single" w:sz="4" w:space="1" w:color="auto"/>
          <w:left w:val="single" w:sz="4" w:space="4" w:color="auto"/>
          <w:bottom w:val="single" w:sz="4" w:space="1" w:color="auto"/>
          <w:right w:val="single" w:sz="4" w:space="4" w:color="auto"/>
        </w:pBdr>
        <w:shd w:val="clear" w:color="auto" w:fill="BDD6EE" w:themeFill="accent1" w:themeFillTint="66"/>
      </w:pPr>
      <w:r w:rsidRPr="00244A06">
        <w:t xml:space="preserve">DNB </w:t>
      </w:r>
      <w:r w:rsidR="00683E29">
        <w:t>heeft ge</w:t>
      </w:r>
      <w:r w:rsidRPr="00244A06">
        <w:t xml:space="preserve">constateerd dat de </w:t>
      </w:r>
      <w:r w:rsidR="00940AA9">
        <w:t>kwaliteit</w:t>
      </w:r>
      <w:r w:rsidR="00940AA9" w:rsidRPr="00244A06">
        <w:t xml:space="preserve"> </w:t>
      </w:r>
      <w:r w:rsidRPr="00244A06">
        <w:t xml:space="preserve">van de data </w:t>
      </w:r>
      <w:r w:rsidR="00D34910">
        <w:t>d</w:t>
      </w:r>
      <w:r w:rsidR="00A73CF6">
        <w:t>ie</w:t>
      </w:r>
      <w:r w:rsidR="00D34910">
        <w:t xml:space="preserve"> gebruik</w:t>
      </w:r>
      <w:r w:rsidR="00A308F8">
        <w:t>t</w:t>
      </w:r>
      <w:r w:rsidR="00D34910">
        <w:t xml:space="preserve"> wordt in het transactiemonitoringssysteem </w:t>
      </w:r>
      <w:r w:rsidR="00851B51">
        <w:t>niet altijd is ge</w:t>
      </w:r>
      <w:r w:rsidRPr="00244A06">
        <w:t>borg</w:t>
      </w:r>
      <w:r w:rsidR="00851B51">
        <w:t xml:space="preserve">d, </w:t>
      </w:r>
      <w:r w:rsidR="00492651">
        <w:t xml:space="preserve">bijvoorbeeld </w:t>
      </w:r>
      <w:r w:rsidR="008F5FF8">
        <w:t>door</w:t>
      </w:r>
      <w:r w:rsidR="00851B51">
        <w:t xml:space="preserve">dat </w:t>
      </w:r>
      <w:r w:rsidRPr="00244A06">
        <w:t>technische functiescheiding</w:t>
      </w:r>
      <w:r w:rsidR="00851B51">
        <w:t xml:space="preserve"> ontbrak</w:t>
      </w:r>
      <w:r w:rsidRPr="00244A06">
        <w:t xml:space="preserve">. </w:t>
      </w:r>
    </w:p>
    <w:p w:rsidR="00244A06" w:rsidRPr="00244A06" w:rsidRDefault="00244A06" w:rsidP="00244A06"/>
    <w:p w:rsidR="00244A06" w:rsidRPr="00614F4F" w:rsidRDefault="00244A06" w:rsidP="00244A06">
      <w:r>
        <w:t xml:space="preserve">DNB verwacht dat de </w:t>
      </w:r>
      <w:r w:rsidR="00E749AA">
        <w:t>kwaliteit</w:t>
      </w:r>
      <w:r>
        <w:t xml:space="preserve"> van de data </w:t>
      </w:r>
      <w:r w:rsidR="00A308F8">
        <w:t xml:space="preserve">bij </w:t>
      </w:r>
      <w:r w:rsidR="00A73CF6">
        <w:t xml:space="preserve">het </w:t>
      </w:r>
      <w:r>
        <w:t>gebruik van het geautomatiseerde transactiemonitoring</w:t>
      </w:r>
      <w:r w:rsidR="009F55D9">
        <w:t>s</w:t>
      </w:r>
      <w:r>
        <w:t>systeem adequaat is geborgd. Daarbij is</w:t>
      </w:r>
      <w:r w:rsidR="001C609A">
        <w:t xml:space="preserve"> (technische)</w:t>
      </w:r>
      <w:r>
        <w:t xml:space="preserve"> f</w:t>
      </w:r>
      <w:r w:rsidRPr="00614F4F">
        <w:t>unctiescheiding een wezenlijk onderdeel van de beheersing van processen in betalingsverkeer om te zorgen dat geen ongewenste en ongecontroleerde aanpassingen plaats vinden.</w:t>
      </w:r>
      <w:r>
        <w:t xml:space="preserve"> Functiescheiding kan op meerdere manieren plaatsvinden, dat wil zeggen functiescheiding tussen invoeren en autorisatie, maar ook technische functiescheiding tussen de testomgeving en de productieomgeving. </w:t>
      </w:r>
    </w:p>
    <w:p w:rsidR="00244A06" w:rsidRDefault="00244A06" w:rsidP="00A62503">
      <w:pPr>
        <w:pStyle w:val="Lijstalinea"/>
        <w:ind w:left="0"/>
      </w:pPr>
    </w:p>
    <w:p w:rsidR="00A62503" w:rsidRDefault="00A62503" w:rsidP="000154B9">
      <w:pPr>
        <w:pStyle w:val="Lijstalinea"/>
        <w:pBdr>
          <w:top w:val="single" w:sz="4" w:space="1" w:color="auto"/>
          <w:left w:val="single" w:sz="4" w:space="4" w:color="auto"/>
          <w:bottom w:val="single" w:sz="4" w:space="1" w:color="auto"/>
          <w:right w:val="single" w:sz="4" w:space="4" w:color="auto"/>
        </w:pBdr>
        <w:shd w:val="clear" w:color="auto" w:fill="D9D9D9" w:themeFill="background1" w:themeFillShade="D9"/>
        <w:ind w:left="0"/>
      </w:pPr>
      <w:r>
        <w:t>Tijdens het onderzoek heeft DNB</w:t>
      </w:r>
      <w:r w:rsidR="00572367">
        <w:t xml:space="preserve"> bij </w:t>
      </w:r>
      <w:r w:rsidR="006F1CBD">
        <w:t>diverse</w:t>
      </w:r>
      <w:r w:rsidR="00572367">
        <w:t xml:space="preserve"> </w:t>
      </w:r>
      <w:r w:rsidR="00C5653C">
        <w:t>betaaldienstverleners</w:t>
      </w:r>
      <w:r>
        <w:t xml:space="preserve"> vastgesteld dat d</w:t>
      </w:r>
      <w:r w:rsidRPr="00614F4F">
        <w:t xml:space="preserve">e ontwikkelaars van business rules toegang </w:t>
      </w:r>
      <w:r>
        <w:t xml:space="preserve">hebben </w:t>
      </w:r>
      <w:r w:rsidRPr="00614F4F">
        <w:t>tot de productie</w:t>
      </w:r>
      <w:r w:rsidR="00A308F8">
        <w:t>-,</w:t>
      </w:r>
      <w:r w:rsidRPr="00614F4F">
        <w:t xml:space="preserve"> de test</w:t>
      </w:r>
      <w:r>
        <w:t>-</w:t>
      </w:r>
      <w:r w:rsidRPr="00614F4F">
        <w:t xml:space="preserve"> </w:t>
      </w:r>
      <w:r w:rsidR="001C609A">
        <w:t>en</w:t>
      </w:r>
      <w:r w:rsidRPr="00614F4F">
        <w:t xml:space="preserve"> acceptatieomgeving</w:t>
      </w:r>
      <w:r>
        <w:t xml:space="preserve"> van het transactiemonitoring</w:t>
      </w:r>
      <w:r w:rsidR="009F55D9">
        <w:t>s</w:t>
      </w:r>
      <w:r>
        <w:t xml:space="preserve">systeem. Daarmee zijn ontwikkelaars in staat om met hun rechten </w:t>
      </w:r>
      <w:r w:rsidR="00A73CF6" w:rsidRPr="00614F4F">
        <w:t>direct</w:t>
      </w:r>
      <w:r w:rsidR="00A73CF6">
        <w:t>,</w:t>
      </w:r>
      <w:r w:rsidR="00A73CF6" w:rsidRPr="00614F4F">
        <w:t xml:space="preserve"> </w:t>
      </w:r>
      <w:r w:rsidRPr="00614F4F">
        <w:t xml:space="preserve">zonder tussenkomst </w:t>
      </w:r>
      <w:r w:rsidR="00A73CF6">
        <w:t>van</w:t>
      </w:r>
      <w:r w:rsidRPr="00614F4F">
        <w:t xml:space="preserve"> de verantwoordelijke eigenaar</w:t>
      </w:r>
      <w:r w:rsidR="00A73CF6">
        <w:t>,</w:t>
      </w:r>
      <w:r w:rsidRPr="00614F4F">
        <w:t xml:space="preserve"> de business rules voor transactiemonitoring in de productieomgeving aan te passen. Het </w:t>
      </w:r>
      <w:r w:rsidR="00A73CF6">
        <w:t>zonder controle</w:t>
      </w:r>
      <w:r w:rsidRPr="00614F4F">
        <w:t xml:space="preserve"> doorvoeren van aanpassingen door </w:t>
      </w:r>
      <w:r>
        <w:t>ontwikkelaars van business rules</w:t>
      </w:r>
      <w:r w:rsidRPr="00614F4F">
        <w:t xml:space="preserve"> kan alleen gewaarborgd worden door de interne procedure</w:t>
      </w:r>
      <w:r w:rsidR="00C64DC9">
        <w:t xml:space="preserve">s </w:t>
      </w:r>
      <w:r w:rsidR="008F5FF8">
        <w:t xml:space="preserve">na te leven </w:t>
      </w:r>
      <w:r w:rsidR="00C64DC9">
        <w:t>(en periodieke controle hierop)</w:t>
      </w:r>
      <w:r w:rsidR="00A73CF6">
        <w:t>.</w:t>
      </w:r>
      <w:r w:rsidRPr="00614F4F">
        <w:t xml:space="preserve"> </w:t>
      </w:r>
      <w:r>
        <w:t xml:space="preserve">Daarnaast is een belangrijke beheersmaatregel dat de </w:t>
      </w:r>
      <w:r w:rsidR="006F1CBD">
        <w:t>betaaldienstverlener</w:t>
      </w:r>
      <w:r>
        <w:t xml:space="preserve"> beschikt over een </w:t>
      </w:r>
      <w:r w:rsidRPr="00614F4F">
        <w:t xml:space="preserve">end-to-end controle tussen bronsystemen en het </w:t>
      </w:r>
      <w:r w:rsidR="00A65844">
        <w:t>transactiemonitoringssysteem</w:t>
      </w:r>
      <w:r>
        <w:t>. Als deze</w:t>
      </w:r>
      <w:r w:rsidR="00037985">
        <w:t xml:space="preserve"> end-to-end</w:t>
      </w:r>
      <w:r>
        <w:t xml:space="preserve"> controle</w:t>
      </w:r>
      <w:r w:rsidRPr="00614F4F">
        <w:t xml:space="preserve"> </w:t>
      </w:r>
      <w:r w:rsidR="008F5FF8">
        <w:t xml:space="preserve">ontbreekt, </w:t>
      </w:r>
      <w:r w:rsidRPr="00614F4F">
        <w:t xml:space="preserve">is </w:t>
      </w:r>
      <w:r w:rsidR="00037985">
        <w:t xml:space="preserve">er </w:t>
      </w:r>
      <w:r w:rsidRPr="00614F4F">
        <w:t>geen controle op de volledigheid van de transacties uit de bronsystemen die worden ingelezen in het transactiemonitorings</w:t>
      </w:r>
      <w:r w:rsidR="009F55D9">
        <w:t>s</w:t>
      </w:r>
      <w:r w:rsidRPr="00614F4F">
        <w:t>ysteem</w:t>
      </w:r>
      <w:r>
        <w:t>. Daarmee</w:t>
      </w:r>
      <w:r w:rsidRPr="00614F4F">
        <w:t xml:space="preserve"> </w:t>
      </w:r>
      <w:r>
        <w:t xml:space="preserve">bestaat het risico dat </w:t>
      </w:r>
      <w:r w:rsidRPr="00614F4F">
        <w:t>niet alle transacties worden gemonitord. Tevens wordt hierdoor een onvolledige historie opgebouwd.</w:t>
      </w:r>
    </w:p>
    <w:p w:rsidR="00A62503" w:rsidRDefault="00A62503" w:rsidP="00A62503"/>
    <w:p w:rsidR="00A62503" w:rsidRDefault="00A62503" w:rsidP="00244A06">
      <w:pPr>
        <w:pBdr>
          <w:top w:val="single" w:sz="4" w:space="1" w:color="auto"/>
          <w:left w:val="single" w:sz="4" w:space="4" w:color="auto"/>
          <w:bottom w:val="single" w:sz="4" w:space="1" w:color="auto"/>
          <w:right w:val="single" w:sz="4" w:space="4" w:color="auto"/>
        </w:pBdr>
        <w:shd w:val="clear" w:color="auto" w:fill="D9D9D9" w:themeFill="background1" w:themeFillShade="D9"/>
      </w:pPr>
      <w:r>
        <w:t>Tijdens het onderzoek constateerde DNB dat</w:t>
      </w:r>
      <w:r w:rsidRPr="00614F4F">
        <w:t xml:space="preserve"> bij het merendeel </w:t>
      </w:r>
      <w:r>
        <w:t xml:space="preserve">van de onderzochte </w:t>
      </w:r>
      <w:r w:rsidR="00C5653C">
        <w:t>betaaldienstverleners</w:t>
      </w:r>
      <w:r w:rsidRPr="00614F4F">
        <w:t xml:space="preserve"> een</w:t>
      </w:r>
      <w:r>
        <w:t xml:space="preserve"> zogenoemd </w:t>
      </w:r>
      <w:r w:rsidRPr="008E3B1C">
        <w:rPr>
          <w:i/>
        </w:rPr>
        <w:t>key-man exposure</w:t>
      </w:r>
      <w:r>
        <w:t>-</w:t>
      </w:r>
      <w:r w:rsidRPr="00614F4F">
        <w:t xml:space="preserve">risico </w:t>
      </w:r>
      <w:r>
        <w:t xml:space="preserve">aanwezig </w:t>
      </w:r>
      <w:r w:rsidR="00A308F8">
        <w:t>wa</w:t>
      </w:r>
      <w:r w:rsidRPr="00614F4F">
        <w:t>s met betrekking tot het transactiemonitoring</w:t>
      </w:r>
      <w:r w:rsidR="009F55D9">
        <w:t>s</w:t>
      </w:r>
      <w:r w:rsidRPr="00614F4F">
        <w:t xml:space="preserve">systeem: </w:t>
      </w:r>
      <w:r>
        <w:t xml:space="preserve">de </w:t>
      </w:r>
      <w:r w:rsidRPr="00614F4F">
        <w:t>kennis van het systeem was bij één of twee medewerkers aanwezig. Het risico van kennisverlies is groot als weinig medewerkers kennis hebben van de systemen, wat als gevolg kan hebben dat deze systemen niet goed onderhouden kunnen worden, of dat incidenten niet opgelost kunnen worden.</w:t>
      </w:r>
      <w:r>
        <w:t xml:space="preserve"> </w:t>
      </w:r>
    </w:p>
    <w:p w:rsidR="00913DE7" w:rsidRDefault="00913DE7" w:rsidP="00E57BE1">
      <w:pPr>
        <w:rPr>
          <w:szCs w:val="17"/>
        </w:rPr>
      </w:pPr>
    </w:p>
    <w:p w:rsidR="00897AB3" w:rsidRDefault="002068E7" w:rsidP="00897AB3">
      <w:pPr>
        <w:pStyle w:val="Kop2"/>
        <w:rPr>
          <w:szCs w:val="17"/>
        </w:rPr>
      </w:pPr>
      <w:bookmarkStart w:id="49" w:name="_Toc483922744"/>
      <w:r w:rsidRPr="00C00ADD">
        <w:t>Alertafhandeling</w:t>
      </w:r>
      <w:r w:rsidR="002E511F" w:rsidRPr="00C00ADD">
        <w:t>s</w:t>
      </w:r>
      <w:r w:rsidR="00C56987">
        <w:t>-</w:t>
      </w:r>
      <w:r w:rsidR="00B20137">
        <w:t xml:space="preserve"> </w:t>
      </w:r>
      <w:r w:rsidR="00C56987">
        <w:t>en meld</w:t>
      </w:r>
      <w:r w:rsidRPr="00C00ADD">
        <w:t>proces</w:t>
      </w:r>
      <w:bookmarkStart w:id="50" w:name="_Toc467164962"/>
      <w:bookmarkEnd w:id="48"/>
      <w:bookmarkEnd w:id="49"/>
    </w:p>
    <w:p w:rsidR="00897AB3" w:rsidRDefault="00897AB3" w:rsidP="00897AB3"/>
    <w:p w:rsidR="0079699A" w:rsidRPr="00897AB3" w:rsidRDefault="0079699A" w:rsidP="00897AB3">
      <w:r w:rsidRPr="00897AB3">
        <w:t>Zoals eerder in dit document gesteld</w:t>
      </w:r>
      <w:r w:rsidR="00940AA9" w:rsidRPr="00897AB3">
        <w:t>,</w:t>
      </w:r>
      <w:r w:rsidRPr="00897AB3">
        <w:t xml:space="preserve"> moeten </w:t>
      </w:r>
      <w:r w:rsidR="00C5653C" w:rsidRPr="00897AB3">
        <w:t>betaaldienstverleners</w:t>
      </w:r>
      <w:r w:rsidRPr="00897AB3">
        <w:t xml:space="preserve"> een verrichte of voorgenomen ongebruikelijke transactie onverwijld melden aan de FIU-NL zodra het ongebruikelijke karakter van de transactie bekend is geworden. Het</w:t>
      </w:r>
      <w:r w:rsidR="00154357" w:rsidRPr="00897AB3">
        <w:t xml:space="preserve"> </w:t>
      </w:r>
      <w:r w:rsidRPr="00897AB3">
        <w:t xml:space="preserve">melden van ongebruikelijke transacties aan de FIU-NL is een belangrijk onderdeel van de bestrijding van witwassen en terrorismefinanciering. De FIU-NL onderzoekt </w:t>
      </w:r>
      <w:r w:rsidR="000101B6" w:rsidRPr="00897AB3">
        <w:t xml:space="preserve">alle </w:t>
      </w:r>
      <w:r w:rsidRPr="00897AB3">
        <w:t xml:space="preserve">gemelde transacties. Indien dit onderzoek </w:t>
      </w:r>
      <w:r w:rsidR="000101B6" w:rsidRPr="00897AB3">
        <w:t xml:space="preserve">ertoe </w:t>
      </w:r>
      <w:r w:rsidRPr="00897AB3">
        <w:t xml:space="preserve">leidt </w:t>
      </w:r>
      <w:r w:rsidR="000101B6" w:rsidRPr="00897AB3">
        <w:t xml:space="preserve">dat de gemelde transactie </w:t>
      </w:r>
      <w:r w:rsidRPr="00897AB3">
        <w:t>verdacht verkl</w:t>
      </w:r>
      <w:r w:rsidR="000101B6" w:rsidRPr="00897AB3">
        <w:t>aard wordt,</w:t>
      </w:r>
      <w:r w:rsidRPr="00897AB3">
        <w:t xml:space="preserve"> wordt deze transactie doorgemeld aan de </w:t>
      </w:r>
      <w:r w:rsidR="00154357" w:rsidRPr="00897AB3">
        <w:t>opsporingsinstanties</w:t>
      </w:r>
      <w:r w:rsidRPr="00897AB3">
        <w:t xml:space="preserve">. </w:t>
      </w:r>
      <w:r w:rsidR="000101B6" w:rsidRPr="00897AB3">
        <w:t xml:space="preserve">Zo kunnen uw </w:t>
      </w:r>
      <w:r w:rsidRPr="00897AB3">
        <w:t xml:space="preserve">meldingen van ongebruikelijke transacties leiden </w:t>
      </w:r>
      <w:r w:rsidR="002406AB" w:rsidRPr="00897AB3">
        <w:t>tot strafrechtelijk onderzoek</w:t>
      </w:r>
      <w:r w:rsidR="00154357" w:rsidRPr="00897AB3">
        <w:t>.</w:t>
      </w:r>
      <w:r w:rsidR="002406AB" w:rsidRPr="00897AB3">
        <w:t xml:space="preserve"> De meldingsplicht vormt daarmee een </w:t>
      </w:r>
      <w:r w:rsidR="00154357" w:rsidRPr="00897AB3">
        <w:t>essentiële</w:t>
      </w:r>
      <w:r w:rsidR="002406AB" w:rsidRPr="00897AB3">
        <w:t xml:space="preserve"> rol voor opsporen van witwassen en financiering van terrorisme. </w:t>
      </w:r>
    </w:p>
    <w:p w:rsidR="0079699A" w:rsidRDefault="0079699A" w:rsidP="00244A06">
      <w:pPr>
        <w:pStyle w:val="Opsomming2eniveau"/>
        <w:numPr>
          <w:ilvl w:val="0"/>
          <w:numId w:val="0"/>
        </w:numPr>
        <w:shd w:val="clear" w:color="auto" w:fill="FFFFFF" w:themeFill="background1"/>
        <w:rPr>
          <w:szCs w:val="17"/>
        </w:rPr>
      </w:pPr>
    </w:p>
    <w:p w:rsidR="00323985" w:rsidRDefault="0079699A" w:rsidP="00244A06">
      <w:pPr>
        <w:pStyle w:val="Opsomming2eniveau"/>
        <w:numPr>
          <w:ilvl w:val="0"/>
          <w:numId w:val="0"/>
        </w:numPr>
        <w:shd w:val="clear" w:color="auto" w:fill="FFFFFF" w:themeFill="background1"/>
        <w:rPr>
          <w:szCs w:val="17"/>
        </w:rPr>
      </w:pPr>
      <w:r>
        <w:rPr>
          <w:szCs w:val="17"/>
        </w:rPr>
        <w:t xml:space="preserve">De onderzochte </w:t>
      </w:r>
      <w:r w:rsidR="00C5653C">
        <w:rPr>
          <w:szCs w:val="17"/>
        </w:rPr>
        <w:t>betaaldienstverleners</w:t>
      </w:r>
      <w:r w:rsidR="00250BCF">
        <w:rPr>
          <w:szCs w:val="17"/>
        </w:rPr>
        <w:t xml:space="preserve"> bleken </w:t>
      </w:r>
      <w:r w:rsidR="00250BCF" w:rsidRPr="000916A6">
        <w:rPr>
          <w:szCs w:val="17"/>
        </w:rPr>
        <w:t xml:space="preserve">ongebruikelijke voorgenomen transacties of uitgevoerde transacties </w:t>
      </w:r>
      <w:r w:rsidR="00226970">
        <w:rPr>
          <w:szCs w:val="17"/>
        </w:rPr>
        <w:t xml:space="preserve">niet altijd </w:t>
      </w:r>
      <w:r w:rsidR="00250BCF" w:rsidRPr="000916A6">
        <w:rPr>
          <w:szCs w:val="17"/>
        </w:rPr>
        <w:t xml:space="preserve">onverwijld en volledig aan de </w:t>
      </w:r>
      <w:r w:rsidR="002B68CE">
        <w:rPr>
          <w:szCs w:val="17"/>
        </w:rPr>
        <w:t>FIU-NL</w:t>
      </w:r>
      <w:r w:rsidR="00250BCF" w:rsidRPr="000916A6">
        <w:rPr>
          <w:szCs w:val="17"/>
        </w:rPr>
        <w:t xml:space="preserve"> </w:t>
      </w:r>
      <w:r w:rsidR="00594C04">
        <w:rPr>
          <w:szCs w:val="17"/>
        </w:rPr>
        <w:t xml:space="preserve">te </w:t>
      </w:r>
      <w:r w:rsidR="00250BCF" w:rsidRPr="000916A6">
        <w:rPr>
          <w:szCs w:val="17"/>
        </w:rPr>
        <w:t>meld</w:t>
      </w:r>
      <w:r w:rsidR="00250BCF">
        <w:rPr>
          <w:szCs w:val="17"/>
        </w:rPr>
        <w:t>en</w:t>
      </w:r>
      <w:r w:rsidR="00250BCF" w:rsidRPr="000916A6">
        <w:rPr>
          <w:szCs w:val="17"/>
        </w:rPr>
        <w:t xml:space="preserve"> conform een gedocumenteerd meldproces</w:t>
      </w:r>
      <w:r w:rsidR="00250BCF">
        <w:rPr>
          <w:szCs w:val="17"/>
        </w:rPr>
        <w:t>. Ook h</w:t>
      </w:r>
      <w:r w:rsidR="00244A06" w:rsidRPr="000916A6">
        <w:rPr>
          <w:szCs w:val="17"/>
        </w:rPr>
        <w:t>et alertafhandelingsproces en meldproces blek</w:t>
      </w:r>
      <w:r w:rsidR="000101B6">
        <w:rPr>
          <w:szCs w:val="17"/>
        </w:rPr>
        <w:t>en</w:t>
      </w:r>
      <w:r w:rsidR="00244A06" w:rsidRPr="000916A6">
        <w:rPr>
          <w:szCs w:val="17"/>
        </w:rPr>
        <w:t xml:space="preserve"> niet altijd adequaat te zijn gedocumenteerd</w:t>
      </w:r>
      <w:r w:rsidR="00FC679C">
        <w:rPr>
          <w:szCs w:val="17"/>
        </w:rPr>
        <w:t>.</w:t>
      </w:r>
      <w:r w:rsidR="00244A06" w:rsidRPr="000916A6">
        <w:rPr>
          <w:szCs w:val="17"/>
        </w:rPr>
        <w:t xml:space="preserve"> </w:t>
      </w:r>
    </w:p>
    <w:p w:rsidR="006200C2" w:rsidRDefault="006200C2" w:rsidP="00244A06">
      <w:pPr>
        <w:pStyle w:val="Opsomming2eniveau"/>
        <w:numPr>
          <w:ilvl w:val="0"/>
          <w:numId w:val="0"/>
        </w:numPr>
        <w:shd w:val="clear" w:color="auto" w:fill="FFFFFF" w:themeFill="background1"/>
      </w:pPr>
    </w:p>
    <w:p w:rsidR="00C56987" w:rsidRDefault="00C56987" w:rsidP="00244A06">
      <w:pPr>
        <w:pStyle w:val="Opsomming2eniveau"/>
        <w:numPr>
          <w:ilvl w:val="0"/>
          <w:numId w:val="0"/>
        </w:numPr>
        <w:shd w:val="clear" w:color="auto" w:fill="FFFFFF" w:themeFill="background1"/>
      </w:pPr>
      <w:r>
        <w:t xml:space="preserve">In </w:t>
      </w:r>
      <w:r w:rsidR="00A0413B">
        <w:t xml:space="preserve">onderstaande </w:t>
      </w:r>
      <w:r>
        <w:t xml:space="preserve">paragrafen </w:t>
      </w:r>
      <w:r w:rsidR="00F97639">
        <w:t xml:space="preserve">leest u </w:t>
      </w:r>
      <w:r>
        <w:t xml:space="preserve">onze </w:t>
      </w:r>
      <w:r w:rsidR="00D51855">
        <w:t>uitkomsten</w:t>
      </w:r>
      <w:r>
        <w:t xml:space="preserve"> </w:t>
      </w:r>
      <w:r w:rsidR="00226970">
        <w:t xml:space="preserve">en handvatten </w:t>
      </w:r>
      <w:r w:rsidR="00F97639">
        <w:t xml:space="preserve">voor </w:t>
      </w:r>
      <w:r>
        <w:t>het alert</w:t>
      </w:r>
      <w:r w:rsidR="000101B6">
        <w:t>af</w:t>
      </w:r>
      <w:r>
        <w:t>hand</w:t>
      </w:r>
      <w:r w:rsidR="00936FE0">
        <w:t>e</w:t>
      </w:r>
      <w:r>
        <w:t xml:space="preserve">lingsproces en het meldproces. </w:t>
      </w:r>
    </w:p>
    <w:p w:rsidR="00C56987" w:rsidRDefault="00C56987" w:rsidP="00C56987">
      <w:pPr>
        <w:pStyle w:val="Kop3"/>
      </w:pPr>
      <w:bookmarkStart w:id="51" w:name="_Toc483922745"/>
      <w:r>
        <w:t>Alertafhandelingsproces</w:t>
      </w:r>
      <w:bookmarkEnd w:id="51"/>
    </w:p>
    <w:p w:rsidR="008223A8" w:rsidRPr="008223A8" w:rsidRDefault="008223A8" w:rsidP="008223A8"/>
    <w:bookmarkEnd w:id="50"/>
    <w:p w:rsidR="00845F93" w:rsidRDefault="00D51855" w:rsidP="00030E57">
      <w:pPr>
        <w:pBdr>
          <w:top w:val="single" w:sz="4" w:space="1" w:color="auto"/>
          <w:left w:val="single" w:sz="4" w:space="4" w:color="auto"/>
          <w:bottom w:val="single" w:sz="4" w:space="1" w:color="auto"/>
          <w:right w:val="single" w:sz="4" w:space="4" w:color="auto"/>
        </w:pBdr>
        <w:shd w:val="clear" w:color="auto" w:fill="BDD6EE" w:themeFill="accent1" w:themeFillTint="66"/>
        <w:rPr>
          <w:szCs w:val="17"/>
        </w:rPr>
      </w:pPr>
      <w:r w:rsidRPr="000916A6">
        <w:rPr>
          <w:szCs w:val="17"/>
        </w:rPr>
        <w:t>Het alertafhandelingsproces ble</w:t>
      </w:r>
      <w:r w:rsidR="00946771">
        <w:rPr>
          <w:szCs w:val="17"/>
        </w:rPr>
        <w:t>e</w:t>
      </w:r>
      <w:r w:rsidR="00E74629">
        <w:rPr>
          <w:szCs w:val="17"/>
        </w:rPr>
        <w:t>k</w:t>
      </w:r>
      <w:r w:rsidRPr="000916A6">
        <w:rPr>
          <w:szCs w:val="17"/>
        </w:rPr>
        <w:t xml:space="preserve"> niet altijd adequaat te zijn gedocumenteerd: </w:t>
      </w:r>
      <w:r>
        <w:rPr>
          <w:szCs w:val="17"/>
        </w:rPr>
        <w:t xml:space="preserve">met name </w:t>
      </w:r>
      <w:r w:rsidRPr="000916A6">
        <w:rPr>
          <w:szCs w:val="17"/>
        </w:rPr>
        <w:t xml:space="preserve">overwegingen </w:t>
      </w:r>
      <w:r w:rsidR="00226970">
        <w:rPr>
          <w:szCs w:val="17"/>
        </w:rPr>
        <w:t xml:space="preserve">om </w:t>
      </w:r>
      <w:r w:rsidR="00226970" w:rsidRPr="000916A6">
        <w:rPr>
          <w:szCs w:val="17"/>
        </w:rPr>
        <w:t>alerts</w:t>
      </w:r>
      <w:r w:rsidR="00226970">
        <w:rPr>
          <w:szCs w:val="17"/>
        </w:rPr>
        <w:t xml:space="preserve"> en conclusies te </w:t>
      </w:r>
      <w:r w:rsidRPr="000916A6">
        <w:rPr>
          <w:szCs w:val="17"/>
        </w:rPr>
        <w:t xml:space="preserve">sluiten </w:t>
      </w:r>
      <w:r w:rsidR="00226970">
        <w:rPr>
          <w:szCs w:val="17"/>
        </w:rPr>
        <w:t>of te</w:t>
      </w:r>
      <w:r w:rsidRPr="000916A6">
        <w:rPr>
          <w:szCs w:val="17"/>
        </w:rPr>
        <w:t xml:space="preserve"> escaleren </w:t>
      </w:r>
      <w:r>
        <w:rPr>
          <w:szCs w:val="17"/>
        </w:rPr>
        <w:t>ontbraken</w:t>
      </w:r>
      <w:r w:rsidR="00E74629">
        <w:rPr>
          <w:szCs w:val="17"/>
        </w:rPr>
        <w:t>.</w:t>
      </w:r>
      <w:r w:rsidRPr="00C00ADD">
        <w:t xml:space="preserve"> </w:t>
      </w:r>
    </w:p>
    <w:p w:rsidR="00030E57" w:rsidRDefault="00030E57" w:rsidP="00030E57">
      <w:pPr>
        <w:rPr>
          <w:szCs w:val="17"/>
        </w:rPr>
      </w:pPr>
    </w:p>
    <w:p w:rsidR="00FB1235" w:rsidRDefault="00A0413B" w:rsidP="00FB1235">
      <w:pPr>
        <w:rPr>
          <w:szCs w:val="17"/>
        </w:rPr>
      </w:pPr>
      <w:r>
        <w:t>E</w:t>
      </w:r>
      <w:r w:rsidR="00030E57">
        <w:t>en</w:t>
      </w:r>
      <w:r w:rsidR="00030E57" w:rsidRPr="00C00ADD">
        <w:t xml:space="preserve"> </w:t>
      </w:r>
      <w:r w:rsidR="004B3277">
        <w:t>betaaldienstverlener</w:t>
      </w:r>
      <w:r w:rsidR="00030E57">
        <w:t xml:space="preserve"> beschik</w:t>
      </w:r>
      <w:r>
        <w:t>t</w:t>
      </w:r>
      <w:r w:rsidR="00030E57">
        <w:t xml:space="preserve"> over</w:t>
      </w:r>
      <w:r w:rsidR="00030E57" w:rsidRPr="00C00ADD">
        <w:t xml:space="preserve"> procedures en werkprocessen om alerts te beoordelen</w:t>
      </w:r>
      <w:r w:rsidR="00030E57">
        <w:t xml:space="preserve"> en</w:t>
      </w:r>
      <w:r w:rsidR="00030E57" w:rsidRPr="00C00ADD">
        <w:t xml:space="preserve"> af te handelen.</w:t>
      </w:r>
      <w:r w:rsidR="00030E57">
        <w:t xml:space="preserve"> </w:t>
      </w:r>
      <w:r w:rsidR="00D51855">
        <w:rPr>
          <w:szCs w:val="17"/>
        </w:rPr>
        <w:t>DNB verwacht</w:t>
      </w:r>
      <w:r w:rsidR="00E07493">
        <w:rPr>
          <w:szCs w:val="17"/>
        </w:rPr>
        <w:t xml:space="preserve"> dat </w:t>
      </w:r>
      <w:r w:rsidR="004B3277">
        <w:rPr>
          <w:szCs w:val="17"/>
        </w:rPr>
        <w:t>u</w:t>
      </w:r>
      <w:r w:rsidR="00845F93">
        <w:rPr>
          <w:szCs w:val="17"/>
        </w:rPr>
        <w:t xml:space="preserve"> </w:t>
      </w:r>
      <w:r w:rsidR="00FF1E9A">
        <w:rPr>
          <w:szCs w:val="17"/>
        </w:rPr>
        <w:t xml:space="preserve">beschikt over </w:t>
      </w:r>
      <w:r w:rsidR="00FB1235" w:rsidRPr="00C00ADD">
        <w:rPr>
          <w:szCs w:val="17"/>
        </w:rPr>
        <w:t>een workflow</w:t>
      </w:r>
      <w:r w:rsidR="000101B6">
        <w:rPr>
          <w:szCs w:val="17"/>
        </w:rPr>
        <w:t>-</w:t>
      </w:r>
      <w:r w:rsidR="00FB1235" w:rsidRPr="00C00ADD">
        <w:rPr>
          <w:szCs w:val="17"/>
        </w:rPr>
        <w:t xml:space="preserve">managementsysteem dat </w:t>
      </w:r>
      <w:r w:rsidR="004B3277">
        <w:rPr>
          <w:szCs w:val="17"/>
        </w:rPr>
        <w:t>uw instelling</w:t>
      </w:r>
      <w:r w:rsidR="00845F93">
        <w:rPr>
          <w:szCs w:val="17"/>
        </w:rPr>
        <w:t xml:space="preserve"> </w:t>
      </w:r>
      <w:r w:rsidR="00FB1235" w:rsidRPr="00C00ADD">
        <w:rPr>
          <w:szCs w:val="17"/>
        </w:rPr>
        <w:lastRenderedPageBreak/>
        <w:t xml:space="preserve">voldoende inzicht </w:t>
      </w:r>
      <w:r w:rsidR="00845F93">
        <w:rPr>
          <w:szCs w:val="17"/>
        </w:rPr>
        <w:t xml:space="preserve">geeft in de </w:t>
      </w:r>
      <w:r w:rsidR="00845F93" w:rsidRPr="008E3B1C">
        <w:rPr>
          <w:i/>
          <w:szCs w:val="17"/>
        </w:rPr>
        <w:t>audit</w:t>
      </w:r>
      <w:r w:rsidR="00E74629" w:rsidRPr="008E3B1C">
        <w:rPr>
          <w:i/>
          <w:szCs w:val="17"/>
        </w:rPr>
        <w:t xml:space="preserve"> </w:t>
      </w:r>
      <w:r w:rsidR="00845F93" w:rsidRPr="008E3B1C">
        <w:rPr>
          <w:i/>
          <w:szCs w:val="17"/>
        </w:rPr>
        <w:t>trail</w:t>
      </w:r>
      <w:r w:rsidR="00845F93">
        <w:rPr>
          <w:szCs w:val="17"/>
        </w:rPr>
        <w:t xml:space="preserve"> en</w:t>
      </w:r>
      <w:r w:rsidR="00FB1235" w:rsidRPr="00C00ADD">
        <w:rPr>
          <w:szCs w:val="17"/>
        </w:rPr>
        <w:t xml:space="preserve"> doorlooptijden van vervolgacties naar aanleiding van een alert. </w:t>
      </w:r>
      <w:r w:rsidR="00E02F2C">
        <w:rPr>
          <w:szCs w:val="17"/>
        </w:rPr>
        <w:t xml:space="preserve">Zo zorgt u </w:t>
      </w:r>
      <w:r w:rsidR="00FB1235" w:rsidRPr="00C00ADD">
        <w:rPr>
          <w:szCs w:val="17"/>
        </w:rPr>
        <w:t xml:space="preserve">dat de doorlooptijden vanaf het genereren van de alerts tot het sturen van een </w:t>
      </w:r>
      <w:r w:rsidR="00946771">
        <w:rPr>
          <w:szCs w:val="17"/>
        </w:rPr>
        <w:t xml:space="preserve">(eventueel) </w:t>
      </w:r>
      <w:r w:rsidR="00FB1235" w:rsidRPr="00C00ADD">
        <w:rPr>
          <w:szCs w:val="17"/>
        </w:rPr>
        <w:t>informatieverzoek aan de cliënt tot</w:t>
      </w:r>
      <w:r w:rsidR="008F6F8E">
        <w:rPr>
          <w:szCs w:val="17"/>
        </w:rPr>
        <w:t xml:space="preserve"> aan</w:t>
      </w:r>
      <w:r w:rsidR="00FB1235" w:rsidRPr="00C00ADD">
        <w:rPr>
          <w:szCs w:val="17"/>
        </w:rPr>
        <w:t xml:space="preserve"> de </w:t>
      </w:r>
      <w:r w:rsidR="00FB1235">
        <w:rPr>
          <w:szCs w:val="17"/>
        </w:rPr>
        <w:t>onverwijld</w:t>
      </w:r>
      <w:r w:rsidR="00946771">
        <w:rPr>
          <w:szCs w:val="17"/>
        </w:rPr>
        <w:t>e</w:t>
      </w:r>
      <w:r w:rsidR="00FB1235">
        <w:rPr>
          <w:szCs w:val="17"/>
        </w:rPr>
        <w:t xml:space="preserve"> </w:t>
      </w:r>
      <w:r w:rsidR="00FB1235" w:rsidRPr="00C00ADD">
        <w:rPr>
          <w:szCs w:val="17"/>
        </w:rPr>
        <w:t xml:space="preserve">melding aan de </w:t>
      </w:r>
      <w:r w:rsidR="002B68CE">
        <w:rPr>
          <w:szCs w:val="17"/>
        </w:rPr>
        <w:t>FIU-NL</w:t>
      </w:r>
      <w:r w:rsidR="00FB1235" w:rsidRPr="00C00ADD">
        <w:rPr>
          <w:szCs w:val="17"/>
        </w:rPr>
        <w:t xml:space="preserve"> beperkt blijven en </w:t>
      </w:r>
      <w:r w:rsidR="00197ADA">
        <w:rPr>
          <w:szCs w:val="17"/>
        </w:rPr>
        <w:t xml:space="preserve">dat </w:t>
      </w:r>
      <w:r w:rsidR="00FB1235" w:rsidRPr="00C00ADD">
        <w:rPr>
          <w:szCs w:val="17"/>
        </w:rPr>
        <w:t xml:space="preserve">de juiste prioriteiten in de afhandeling van de alerts kunnen worden </w:t>
      </w:r>
      <w:r w:rsidR="00197ADA">
        <w:rPr>
          <w:szCs w:val="17"/>
        </w:rPr>
        <w:t>gesteld</w:t>
      </w:r>
      <w:r w:rsidR="00FB1235" w:rsidRPr="00C00ADD">
        <w:rPr>
          <w:szCs w:val="17"/>
        </w:rPr>
        <w:t xml:space="preserve">. </w:t>
      </w:r>
    </w:p>
    <w:p w:rsidR="002068E7" w:rsidRPr="00C00ADD" w:rsidRDefault="002068E7" w:rsidP="002068E7">
      <w:pPr>
        <w:pStyle w:val="Lijstalinea"/>
        <w:ind w:left="0"/>
      </w:pPr>
    </w:p>
    <w:p w:rsidR="008223A8" w:rsidRDefault="00845F93" w:rsidP="002068E7">
      <w:r>
        <w:t xml:space="preserve">Voorts </w:t>
      </w:r>
      <w:r w:rsidR="00D51855">
        <w:t xml:space="preserve">verwacht DNB </w:t>
      </w:r>
      <w:r>
        <w:t xml:space="preserve">dat </w:t>
      </w:r>
      <w:r w:rsidR="004B3277">
        <w:t>uw instelling</w:t>
      </w:r>
      <w:r>
        <w:t xml:space="preserve"> </w:t>
      </w:r>
      <w:r w:rsidR="002068E7" w:rsidRPr="00C00ADD">
        <w:t>v</w:t>
      </w:r>
      <w:r w:rsidR="006011BD">
        <w:t>oor</w:t>
      </w:r>
      <w:r w:rsidR="002068E7" w:rsidRPr="00C00ADD">
        <w:t xml:space="preserve"> iedere alert vas</w:t>
      </w:r>
      <w:r>
        <w:t>tlegt</w:t>
      </w:r>
      <w:r w:rsidR="002068E7" w:rsidRPr="00C00ADD">
        <w:t xml:space="preserve"> wat de overwegingen en conclusies zijn om een alert te sluiten </w:t>
      </w:r>
      <w:r w:rsidR="008F6F8E">
        <w:t>of om</w:t>
      </w:r>
      <w:r w:rsidR="002068E7" w:rsidRPr="00C00ADD">
        <w:t xml:space="preserve"> de transactie </w:t>
      </w:r>
      <w:r w:rsidR="00364776">
        <w:t xml:space="preserve">als ongebruikelijk </w:t>
      </w:r>
      <w:r w:rsidR="002068E7" w:rsidRPr="00C00ADD">
        <w:t xml:space="preserve">te melden aan </w:t>
      </w:r>
      <w:r w:rsidR="00364776">
        <w:t xml:space="preserve">de </w:t>
      </w:r>
      <w:r w:rsidR="002B68CE">
        <w:t>FIU-NL</w:t>
      </w:r>
      <w:r w:rsidR="002068E7" w:rsidRPr="00C00ADD">
        <w:t xml:space="preserve">. </w:t>
      </w:r>
      <w:r w:rsidR="007D249F">
        <w:t>Bij het alert</w:t>
      </w:r>
      <w:r w:rsidR="0002463D">
        <w:t xml:space="preserve"> </w:t>
      </w:r>
      <w:r w:rsidR="007D249F">
        <w:t>onderzoek is het van belang om niet alleen te kijken of de betreffende transactie pas</w:t>
      </w:r>
      <w:r w:rsidR="00E43455">
        <w:t>t</w:t>
      </w:r>
      <w:r w:rsidR="007D249F">
        <w:t xml:space="preserve"> in het transactiegedrag van </w:t>
      </w:r>
      <w:r w:rsidR="00E43455">
        <w:t>cliënt</w:t>
      </w:r>
      <w:r w:rsidR="00946771">
        <w:t>; o</w:t>
      </w:r>
      <w:r w:rsidR="00E43455">
        <w:t>ok is het van belang</w:t>
      </w:r>
      <w:r w:rsidR="007D249F">
        <w:t xml:space="preserve"> of een dergelijke transactie </w:t>
      </w:r>
      <w:r w:rsidR="008F6F8E">
        <w:t xml:space="preserve">logisch en plausibel is </w:t>
      </w:r>
      <w:r w:rsidR="007D249F">
        <w:t>voor het soort cliënt</w:t>
      </w:r>
      <w:r w:rsidR="004B3277">
        <w:t xml:space="preserve"> en</w:t>
      </w:r>
      <w:r w:rsidR="0002463D">
        <w:t xml:space="preserve"> de sector waarin de cliënt actief is</w:t>
      </w:r>
      <w:r w:rsidR="004B3277">
        <w:t>.</w:t>
      </w:r>
    </w:p>
    <w:p w:rsidR="008223A8" w:rsidRDefault="008223A8" w:rsidP="002068E7"/>
    <w:p w:rsidR="002068E7" w:rsidRDefault="008F1109" w:rsidP="002068E7">
      <w:r>
        <w:t xml:space="preserve">DNB constateert </w:t>
      </w:r>
      <w:r w:rsidR="006200C2">
        <w:t xml:space="preserve">verder </w:t>
      </w:r>
      <w:r>
        <w:t>dat</w:t>
      </w:r>
      <w:r w:rsidR="006200C2">
        <w:t xml:space="preserve"> procedures voor eventuele </w:t>
      </w:r>
      <w:r>
        <w:t>escalatie van alerts naar de 2</w:t>
      </w:r>
      <w:r w:rsidRPr="008F1109">
        <w:rPr>
          <w:vertAlign w:val="superscript"/>
        </w:rPr>
        <w:t>e</w:t>
      </w:r>
      <w:r>
        <w:t xml:space="preserve"> lijn veelal ontbrak</w:t>
      </w:r>
      <w:r w:rsidR="006200C2">
        <w:t>en</w:t>
      </w:r>
      <w:r>
        <w:t xml:space="preserve">. </w:t>
      </w:r>
      <w:r w:rsidR="008223A8">
        <w:t xml:space="preserve">Van belang is dat </w:t>
      </w:r>
      <w:r w:rsidR="00C5653C">
        <w:t>betaaldienstverleners</w:t>
      </w:r>
      <w:r w:rsidR="008223A8">
        <w:t xml:space="preserve"> concrete handvatten bieden wanneer escalatie vanuit de 1</w:t>
      </w:r>
      <w:r w:rsidR="008223A8" w:rsidRPr="008223A8">
        <w:rPr>
          <w:vertAlign w:val="superscript"/>
        </w:rPr>
        <w:t>e</w:t>
      </w:r>
      <w:r w:rsidR="008223A8">
        <w:t xml:space="preserve"> lijn naar de 2</w:t>
      </w:r>
      <w:r w:rsidR="008223A8" w:rsidRPr="008223A8">
        <w:rPr>
          <w:vertAlign w:val="superscript"/>
        </w:rPr>
        <w:t>e</w:t>
      </w:r>
      <w:r w:rsidR="008223A8">
        <w:t xml:space="preserve"> lijn (Compliance) moet plaatsvinden. Deze handvatten ontbraken </w:t>
      </w:r>
      <w:r>
        <w:t xml:space="preserve">nu </w:t>
      </w:r>
      <w:r w:rsidR="008223A8">
        <w:t xml:space="preserve">veelal. </w:t>
      </w:r>
    </w:p>
    <w:p w:rsidR="000B0769" w:rsidRDefault="000B0769" w:rsidP="002068E7"/>
    <w:p w:rsidR="00BB1FFF" w:rsidRDefault="00250BCF" w:rsidP="00BB1FFF">
      <w:pPr>
        <w:shd w:val="clear" w:color="auto" w:fill="FFFFFF" w:themeFill="background1"/>
      </w:pPr>
      <w:r>
        <w:t xml:space="preserve">Ook </w:t>
      </w:r>
      <w:r w:rsidR="00A52BF9">
        <w:t xml:space="preserve">verwacht DNB </w:t>
      </w:r>
      <w:r w:rsidR="00BB1FFF" w:rsidRPr="00BB1FFF">
        <w:t xml:space="preserve">dat </w:t>
      </w:r>
      <w:r w:rsidR="004B3277">
        <w:t>uw instelling</w:t>
      </w:r>
      <w:r w:rsidR="00BB1FFF" w:rsidRPr="00BB1FFF">
        <w:t xml:space="preserve"> beschikt over een adequate onderbouwing van de conclusie van een alert </w:t>
      </w:r>
      <w:r w:rsidR="00BB1FFF" w:rsidRPr="00BB1FFF">
        <w:rPr>
          <w:i/>
        </w:rPr>
        <w:t>om juist niet</w:t>
      </w:r>
      <w:r w:rsidR="00BB1FFF" w:rsidRPr="00BB1FFF">
        <w:t xml:space="preserve"> over te gaan tot melding aan </w:t>
      </w:r>
      <w:r w:rsidR="002B68CE">
        <w:t>FIU-NL</w:t>
      </w:r>
      <w:r w:rsidR="00BB1FFF">
        <w:t xml:space="preserve">. </w:t>
      </w:r>
    </w:p>
    <w:p w:rsidR="002245DB" w:rsidRDefault="002245DB" w:rsidP="00BB1FFF">
      <w:pPr>
        <w:shd w:val="clear" w:color="auto" w:fill="FFFFFF" w:themeFill="background1"/>
      </w:pPr>
    </w:p>
    <w:p w:rsidR="002245DB" w:rsidRDefault="002245DB" w:rsidP="00BB1FFF">
      <w:pPr>
        <w:shd w:val="clear" w:color="auto" w:fill="FFFFFF" w:themeFill="background1"/>
      </w:pPr>
      <w:r>
        <w:t xml:space="preserve">DNB trof </w:t>
      </w:r>
      <w:r w:rsidR="00594C04">
        <w:t>de</w:t>
      </w:r>
      <w:r>
        <w:t xml:space="preserve"> </w:t>
      </w:r>
      <w:r w:rsidR="00594C04">
        <w:t xml:space="preserve">volgende </w:t>
      </w:r>
      <w:r w:rsidR="00F6101C">
        <w:t>voorbeeld</w:t>
      </w:r>
      <w:r w:rsidR="00594C04">
        <w:t>en</w:t>
      </w:r>
      <w:r w:rsidR="00F6101C">
        <w:t xml:space="preserve"> aan zoals het niet moet:</w:t>
      </w:r>
    </w:p>
    <w:p w:rsidR="00BB1FFF" w:rsidRDefault="00BB1FFF" w:rsidP="00BB1FFF">
      <w:pPr>
        <w:shd w:val="clear" w:color="auto" w:fill="FFFFFF" w:themeFill="background1"/>
      </w:pPr>
    </w:p>
    <w:p w:rsidR="00C022A0" w:rsidRPr="00C022A0" w:rsidRDefault="00550190" w:rsidP="00C022A0">
      <w:pPr>
        <w:pBdr>
          <w:top w:val="single" w:sz="4" w:space="1" w:color="auto"/>
          <w:left w:val="single" w:sz="4" w:space="4" w:color="auto"/>
          <w:bottom w:val="single" w:sz="4" w:space="1" w:color="auto"/>
          <w:right w:val="single" w:sz="4" w:space="4" w:color="auto"/>
        </w:pBdr>
        <w:shd w:val="clear" w:color="auto" w:fill="BDD6EE" w:themeFill="accent1" w:themeFillTint="66"/>
        <w:rPr>
          <w:b/>
        </w:rPr>
      </w:pPr>
      <w:r>
        <w:rPr>
          <w:b/>
        </w:rPr>
        <w:t>Bad p</w:t>
      </w:r>
      <w:r w:rsidR="00C022A0" w:rsidRPr="00C022A0">
        <w:rPr>
          <w:b/>
        </w:rPr>
        <w:t>ractice</w:t>
      </w:r>
    </w:p>
    <w:p w:rsidR="00BB1FFF" w:rsidRPr="00C022A0" w:rsidRDefault="004B3277" w:rsidP="00C022A0">
      <w:pPr>
        <w:pBdr>
          <w:top w:val="single" w:sz="4" w:space="1" w:color="auto"/>
          <w:left w:val="single" w:sz="4" w:space="4" w:color="auto"/>
          <w:bottom w:val="single" w:sz="4" w:space="1" w:color="auto"/>
          <w:right w:val="single" w:sz="4" w:space="4" w:color="auto"/>
        </w:pBdr>
        <w:shd w:val="clear" w:color="auto" w:fill="BDD6EE" w:themeFill="accent1" w:themeFillTint="66"/>
      </w:pPr>
      <w:r w:rsidRPr="00C022A0">
        <w:t xml:space="preserve">Door een onderzochte </w:t>
      </w:r>
      <w:r w:rsidR="003E2714" w:rsidRPr="00C022A0">
        <w:t>betaaldienstverlener</w:t>
      </w:r>
      <w:r w:rsidRPr="00C022A0">
        <w:t xml:space="preserve"> met een aantal buitenlandse gambling-sites als klanten werden hoge gokwinsten (EUR 60.000) uitgekeerd. Op de vraag van DNB of dit niet ongebruikelijk was</w:t>
      </w:r>
      <w:r w:rsidR="00E02F2C" w:rsidRPr="00C022A0">
        <w:t>,</w:t>
      </w:r>
      <w:r w:rsidRPr="00C022A0">
        <w:t xml:space="preserve"> werd als antwoord gegeven dat het voor deze sites heel gebruikelijk was dergelijke winsten uit te keren. De instelling kon niet zien wat de inleg van de betreffende personen was</w:t>
      </w:r>
      <w:r w:rsidR="00516AB5" w:rsidRPr="00C022A0">
        <w:t>,</w:t>
      </w:r>
      <w:r w:rsidRPr="00C022A0">
        <w:t xml:space="preserve"> want hiervoor gebruikte de betreffende merchant een andere betaaldienstverlener</w:t>
      </w:r>
      <w:r w:rsidR="006325B8" w:rsidRPr="00C022A0">
        <w:t>.</w:t>
      </w:r>
      <w:r w:rsidR="00BB1FFF" w:rsidRPr="00C022A0">
        <w:t xml:space="preserve"> </w:t>
      </w:r>
    </w:p>
    <w:p w:rsidR="00BB1FFF" w:rsidRPr="00C022A0" w:rsidRDefault="00BB1FFF" w:rsidP="00C022A0">
      <w:pPr>
        <w:pBdr>
          <w:top w:val="single" w:sz="4" w:space="1" w:color="auto"/>
          <w:left w:val="single" w:sz="4" w:space="4" w:color="auto"/>
          <w:bottom w:val="single" w:sz="4" w:space="1" w:color="auto"/>
          <w:right w:val="single" w:sz="4" w:space="4" w:color="auto"/>
        </w:pBdr>
        <w:shd w:val="clear" w:color="auto" w:fill="BDD6EE" w:themeFill="accent1" w:themeFillTint="66"/>
      </w:pPr>
    </w:p>
    <w:p w:rsidR="00C56987" w:rsidRDefault="00323985" w:rsidP="00C022A0">
      <w:pPr>
        <w:pBdr>
          <w:top w:val="single" w:sz="4" w:space="1" w:color="auto"/>
          <w:left w:val="single" w:sz="4" w:space="4" w:color="auto"/>
          <w:bottom w:val="single" w:sz="4" w:space="1" w:color="auto"/>
          <w:right w:val="single" w:sz="4" w:space="4" w:color="auto"/>
        </w:pBdr>
        <w:shd w:val="clear" w:color="auto" w:fill="BDD6EE" w:themeFill="accent1" w:themeFillTint="66"/>
      </w:pPr>
      <w:r w:rsidRPr="00C022A0">
        <w:t xml:space="preserve">Het sluiten van de alert, alleen omdat </w:t>
      </w:r>
      <w:r w:rsidR="004B3277" w:rsidRPr="00C022A0">
        <w:t>het uitkeren van grote bedragen past</w:t>
      </w:r>
      <w:r w:rsidRPr="00C022A0">
        <w:t xml:space="preserve"> in het transactieprofiel </w:t>
      </w:r>
      <w:r w:rsidR="00F24BDA" w:rsidRPr="00C022A0">
        <w:t>geldt als onvoldoende onderzoek.</w:t>
      </w:r>
      <w:r w:rsidR="006E4EB4" w:rsidRPr="00C022A0">
        <w:t xml:space="preserve"> </w:t>
      </w:r>
      <w:r w:rsidR="003E2714" w:rsidRPr="00C022A0">
        <w:t>Betaaldienstverleners</w:t>
      </w:r>
      <w:r w:rsidR="006E4EB4" w:rsidRPr="00C022A0">
        <w:t xml:space="preserve"> moeten zich daarnaast afvragen of zij uitkeringen willen faciliteren waarvan zi</w:t>
      </w:r>
      <w:r w:rsidR="00327E1D" w:rsidRPr="00C022A0">
        <w:t>j geen zicht hebben op de inleg</w:t>
      </w:r>
      <w:r w:rsidR="006E4EB4" w:rsidRPr="00C022A0">
        <w:t xml:space="preserve">. </w:t>
      </w:r>
    </w:p>
    <w:p w:rsidR="009326C2" w:rsidRDefault="009326C2" w:rsidP="002068E7"/>
    <w:p w:rsidR="002068E7" w:rsidRPr="00C00ADD" w:rsidRDefault="008612BC" w:rsidP="00B67AC3">
      <w:pPr>
        <w:pStyle w:val="Kop3"/>
      </w:pPr>
      <w:bookmarkStart w:id="52" w:name="_Toc467164964"/>
      <w:bookmarkStart w:id="53" w:name="_Toc483922746"/>
      <w:r>
        <w:t>C</w:t>
      </w:r>
      <w:r w:rsidR="002068E7" w:rsidRPr="00C00ADD">
        <w:t>apaciteit en middelen om alerts te beoordelen</w:t>
      </w:r>
      <w:bookmarkEnd w:id="52"/>
      <w:bookmarkEnd w:id="53"/>
    </w:p>
    <w:p w:rsidR="006F719F" w:rsidRDefault="006F719F" w:rsidP="006F719F">
      <w:r>
        <w:rPr>
          <w:szCs w:val="17"/>
        </w:rPr>
        <w:t xml:space="preserve">DNB verwacht dat </w:t>
      </w:r>
      <w:r w:rsidR="00C5653C">
        <w:rPr>
          <w:szCs w:val="17"/>
        </w:rPr>
        <w:t>betaaldienstverleners</w:t>
      </w:r>
      <w:r>
        <w:rPr>
          <w:szCs w:val="17"/>
        </w:rPr>
        <w:t xml:space="preserve"> voldoende capaciteit en middelen beschik</w:t>
      </w:r>
      <w:r w:rsidR="004C57F8">
        <w:rPr>
          <w:szCs w:val="17"/>
        </w:rPr>
        <w:t>baar h</w:t>
      </w:r>
      <w:r>
        <w:rPr>
          <w:szCs w:val="17"/>
        </w:rPr>
        <w:t>e</w:t>
      </w:r>
      <w:r w:rsidR="004C57F8">
        <w:rPr>
          <w:szCs w:val="17"/>
        </w:rPr>
        <w:t>bb</w:t>
      </w:r>
      <w:r>
        <w:rPr>
          <w:szCs w:val="17"/>
        </w:rPr>
        <w:t xml:space="preserve">en om </w:t>
      </w:r>
      <w:r w:rsidR="00BC6CDD">
        <w:rPr>
          <w:szCs w:val="17"/>
        </w:rPr>
        <w:t>risicogebaseerd hun transactiemonitoring en in het bijzonder hun alertafhandeling te verrichten</w:t>
      </w:r>
      <w:r>
        <w:rPr>
          <w:szCs w:val="17"/>
        </w:rPr>
        <w:t xml:space="preserve">. </w:t>
      </w:r>
      <w:r w:rsidRPr="00C00ADD">
        <w:t>Daarbij dient de afdeling die belast is met alertafhandeling te beschikken over realistische targets</w:t>
      </w:r>
      <w:r w:rsidR="00C84CDC">
        <w:t>,</w:t>
      </w:r>
      <w:r w:rsidRPr="00C00ADD">
        <w:t xml:space="preserve"> gezien de omvang en het risicoprofiel van de instelling. Om dit te bewerkstelligen kan de instelling </w:t>
      </w:r>
      <w:r>
        <w:t xml:space="preserve">zogenoemde </w:t>
      </w:r>
      <w:r w:rsidR="00C84CDC">
        <w:t>kpi</w:t>
      </w:r>
      <w:r w:rsidRPr="00C00ADD">
        <w:t xml:space="preserve">’s opstellen waarin tijdsinschattingen voor de afhandeling van ieder type alert zijn gedefinieerd. Het spreekt voor zich dat deze ook periodiek worden geëvalueerd. </w:t>
      </w:r>
    </w:p>
    <w:p w:rsidR="006F719F" w:rsidRDefault="006F719F" w:rsidP="00EE6700">
      <w:pPr>
        <w:rPr>
          <w:szCs w:val="17"/>
        </w:rPr>
      </w:pPr>
    </w:p>
    <w:p w:rsidR="00A43839" w:rsidRPr="00A43839" w:rsidRDefault="00A43839" w:rsidP="006F719F">
      <w:pPr>
        <w:pBdr>
          <w:top w:val="single" w:sz="4" w:space="1" w:color="auto"/>
          <w:left w:val="single" w:sz="4" w:space="4" w:color="auto"/>
          <w:bottom w:val="single" w:sz="4" w:space="1" w:color="auto"/>
          <w:right w:val="single" w:sz="4" w:space="4" w:color="auto"/>
        </w:pBdr>
        <w:shd w:val="clear" w:color="auto" w:fill="BDD6EE" w:themeFill="accent1" w:themeFillTint="66"/>
        <w:rPr>
          <w:b/>
          <w:szCs w:val="17"/>
        </w:rPr>
      </w:pPr>
      <w:r>
        <w:rPr>
          <w:b/>
          <w:szCs w:val="17"/>
        </w:rPr>
        <w:t>Good practice</w:t>
      </w:r>
    </w:p>
    <w:p w:rsidR="002068E7" w:rsidRDefault="006011BD" w:rsidP="006F719F">
      <w:pPr>
        <w:pBdr>
          <w:top w:val="single" w:sz="4" w:space="1" w:color="auto"/>
          <w:left w:val="single" w:sz="4" w:space="4" w:color="auto"/>
          <w:bottom w:val="single" w:sz="4" w:space="1" w:color="auto"/>
          <w:right w:val="single" w:sz="4" w:space="4" w:color="auto"/>
        </w:pBdr>
        <w:shd w:val="clear" w:color="auto" w:fill="BDD6EE" w:themeFill="accent1" w:themeFillTint="66"/>
      </w:pPr>
      <w:r>
        <w:rPr>
          <w:szCs w:val="17"/>
        </w:rPr>
        <w:t>Uit het thema</w:t>
      </w:r>
      <w:r w:rsidR="00F24BDA">
        <w:rPr>
          <w:szCs w:val="17"/>
        </w:rPr>
        <w:t>-</w:t>
      </w:r>
      <w:r>
        <w:rPr>
          <w:szCs w:val="17"/>
        </w:rPr>
        <w:t xml:space="preserve">onderzoek bleek dat </w:t>
      </w:r>
      <w:r w:rsidR="006E4EB4">
        <w:rPr>
          <w:szCs w:val="17"/>
        </w:rPr>
        <w:t>éé</w:t>
      </w:r>
      <w:r>
        <w:rPr>
          <w:szCs w:val="17"/>
        </w:rPr>
        <w:t xml:space="preserve">n van de onderzochte </w:t>
      </w:r>
      <w:r w:rsidR="00C5653C">
        <w:rPr>
          <w:szCs w:val="17"/>
        </w:rPr>
        <w:t>betaaldienstverleners</w:t>
      </w:r>
      <w:r>
        <w:rPr>
          <w:szCs w:val="17"/>
        </w:rPr>
        <w:t xml:space="preserve"> in de praktijk bij </w:t>
      </w:r>
      <w:r w:rsidR="004C57F8">
        <w:rPr>
          <w:szCs w:val="17"/>
        </w:rPr>
        <w:t xml:space="preserve">de </w:t>
      </w:r>
      <w:r>
        <w:rPr>
          <w:szCs w:val="17"/>
        </w:rPr>
        <w:t>alert</w:t>
      </w:r>
      <w:r w:rsidR="004C57F8">
        <w:rPr>
          <w:szCs w:val="17"/>
        </w:rPr>
        <w:t>af</w:t>
      </w:r>
      <w:r>
        <w:rPr>
          <w:szCs w:val="17"/>
        </w:rPr>
        <w:t>hand</w:t>
      </w:r>
      <w:r w:rsidR="004C57F8">
        <w:rPr>
          <w:szCs w:val="17"/>
        </w:rPr>
        <w:t>e</w:t>
      </w:r>
      <w:r>
        <w:rPr>
          <w:szCs w:val="17"/>
        </w:rPr>
        <w:t xml:space="preserve">ling </w:t>
      </w:r>
      <w:r w:rsidR="00EE6700" w:rsidRPr="00C00ADD">
        <w:rPr>
          <w:szCs w:val="17"/>
        </w:rPr>
        <w:t xml:space="preserve">het </w:t>
      </w:r>
      <w:r>
        <w:rPr>
          <w:szCs w:val="17"/>
        </w:rPr>
        <w:t xml:space="preserve">volgende </w:t>
      </w:r>
      <w:r w:rsidR="00EE6700" w:rsidRPr="00C00ADD">
        <w:rPr>
          <w:szCs w:val="17"/>
        </w:rPr>
        <w:t>uitgangspunt</w:t>
      </w:r>
      <w:r w:rsidR="008612BC">
        <w:rPr>
          <w:szCs w:val="17"/>
        </w:rPr>
        <w:t xml:space="preserve"> </w:t>
      </w:r>
      <w:r>
        <w:rPr>
          <w:szCs w:val="17"/>
        </w:rPr>
        <w:t>hanteert</w:t>
      </w:r>
      <w:r w:rsidR="00EE6700" w:rsidRPr="00C00ADD">
        <w:rPr>
          <w:szCs w:val="17"/>
        </w:rPr>
        <w:t xml:space="preserve"> “kwaliteit </w:t>
      </w:r>
      <w:r w:rsidR="004C57F8">
        <w:rPr>
          <w:szCs w:val="17"/>
        </w:rPr>
        <w:t xml:space="preserve">gaat </w:t>
      </w:r>
      <w:r w:rsidR="00EE6700" w:rsidRPr="00C00ADD">
        <w:rPr>
          <w:szCs w:val="17"/>
        </w:rPr>
        <w:t>voor snelheid</w:t>
      </w:r>
      <w:r w:rsidR="00D37167">
        <w:rPr>
          <w:rStyle w:val="Voetnootmarkering"/>
          <w:szCs w:val="17"/>
        </w:rPr>
        <w:footnoteReference w:id="17"/>
      </w:r>
      <w:r w:rsidR="00EE6700" w:rsidRPr="00C00ADD">
        <w:rPr>
          <w:szCs w:val="17"/>
        </w:rPr>
        <w:t xml:space="preserve">”. Analisten </w:t>
      </w:r>
      <w:r w:rsidR="00845F93">
        <w:rPr>
          <w:szCs w:val="17"/>
        </w:rPr>
        <w:t xml:space="preserve">van alerts </w:t>
      </w:r>
      <w:r w:rsidR="00EE6700" w:rsidRPr="00C00ADD">
        <w:rPr>
          <w:szCs w:val="17"/>
        </w:rPr>
        <w:t>krijgen voldoende tijd voor een gedegen onderzoek en vastlegging van hun onderzoek</w:t>
      </w:r>
      <w:r w:rsidR="00004C19">
        <w:rPr>
          <w:szCs w:val="17"/>
        </w:rPr>
        <w:t xml:space="preserve">, en </w:t>
      </w:r>
      <w:r w:rsidR="00EE6700" w:rsidRPr="00C00ADD">
        <w:rPr>
          <w:szCs w:val="17"/>
        </w:rPr>
        <w:t>hebben daarbij de beschikking over</w:t>
      </w:r>
      <w:r w:rsidR="008612BC">
        <w:rPr>
          <w:szCs w:val="17"/>
        </w:rPr>
        <w:t xml:space="preserve"> </w:t>
      </w:r>
      <w:r w:rsidR="00EE6700" w:rsidRPr="00C00ADD">
        <w:rPr>
          <w:szCs w:val="17"/>
        </w:rPr>
        <w:t>voldoende middelen</w:t>
      </w:r>
      <w:r w:rsidR="00004C19">
        <w:rPr>
          <w:szCs w:val="17"/>
        </w:rPr>
        <w:t xml:space="preserve"> en toegang tot</w:t>
      </w:r>
      <w:r w:rsidR="00247EB1">
        <w:rPr>
          <w:szCs w:val="17"/>
        </w:rPr>
        <w:t xml:space="preserve"> interne en externe</w:t>
      </w:r>
      <w:r w:rsidR="00004C19">
        <w:rPr>
          <w:szCs w:val="17"/>
        </w:rPr>
        <w:t xml:space="preserve"> systemen en informatiebronnen</w:t>
      </w:r>
      <w:r w:rsidR="00EE6700" w:rsidRPr="00C00ADD">
        <w:rPr>
          <w:szCs w:val="17"/>
        </w:rPr>
        <w:t xml:space="preserve">. Onderdeel daarvan is dat de analisten bij de beoordeling van alerts het </w:t>
      </w:r>
      <w:r w:rsidR="00004C19">
        <w:rPr>
          <w:szCs w:val="17"/>
        </w:rPr>
        <w:t>cliënten</w:t>
      </w:r>
      <w:r w:rsidR="00EE6700" w:rsidRPr="00C00ADD">
        <w:rPr>
          <w:szCs w:val="17"/>
        </w:rPr>
        <w:t>dossier moeten kunnen raadplegen. Informati</w:t>
      </w:r>
      <w:r w:rsidR="00004C19">
        <w:rPr>
          <w:szCs w:val="17"/>
        </w:rPr>
        <w:t>e in het cliënten</w:t>
      </w:r>
      <w:r w:rsidR="00EE6700" w:rsidRPr="00C00ADD">
        <w:rPr>
          <w:szCs w:val="17"/>
        </w:rPr>
        <w:t>dossier kan aanvullend</w:t>
      </w:r>
      <w:r w:rsidR="00505796">
        <w:rPr>
          <w:szCs w:val="17"/>
        </w:rPr>
        <w:t>e informatie geven</w:t>
      </w:r>
      <w:r w:rsidR="00EE6700" w:rsidRPr="00C00ADD">
        <w:rPr>
          <w:szCs w:val="17"/>
        </w:rPr>
        <w:t xml:space="preserve"> om een transactie met een verhoogd risico voor witwassen en terrorismefinanciering te detecteren. </w:t>
      </w:r>
      <w:r w:rsidR="00FA1A5A">
        <w:rPr>
          <w:szCs w:val="17"/>
        </w:rPr>
        <w:t>Met informatie uit het cliëntendossier kan de analist bijvoorbeeld beoordelen of</w:t>
      </w:r>
      <w:r w:rsidR="00EE6700" w:rsidRPr="00C00ADD">
        <w:rPr>
          <w:szCs w:val="17"/>
        </w:rPr>
        <w:t xml:space="preserve"> </w:t>
      </w:r>
      <w:r w:rsidR="00F24BDA">
        <w:rPr>
          <w:szCs w:val="17"/>
        </w:rPr>
        <w:t xml:space="preserve">de transacties </w:t>
      </w:r>
      <w:r w:rsidR="00EE6700" w:rsidRPr="00C00ADD">
        <w:rPr>
          <w:szCs w:val="17"/>
        </w:rPr>
        <w:t xml:space="preserve">passen bij de </w:t>
      </w:r>
      <w:r w:rsidR="00B14F5C">
        <w:rPr>
          <w:szCs w:val="17"/>
        </w:rPr>
        <w:t xml:space="preserve">activiteiten </w:t>
      </w:r>
      <w:r w:rsidR="00EE6700" w:rsidRPr="00C00ADD">
        <w:rPr>
          <w:szCs w:val="17"/>
        </w:rPr>
        <w:t>van een cliënt.</w:t>
      </w:r>
      <w:r w:rsidR="00FA1A5A">
        <w:rPr>
          <w:szCs w:val="17"/>
        </w:rPr>
        <w:t xml:space="preserve"> </w:t>
      </w:r>
    </w:p>
    <w:p w:rsidR="00AD00E2" w:rsidRPr="00C00ADD" w:rsidRDefault="002E511F" w:rsidP="00C56987">
      <w:pPr>
        <w:pStyle w:val="Kop3"/>
      </w:pPr>
      <w:bookmarkStart w:id="54" w:name="_Toc479794887"/>
      <w:bookmarkStart w:id="55" w:name="_Toc479794956"/>
      <w:bookmarkStart w:id="56" w:name="_Toc479794888"/>
      <w:bookmarkStart w:id="57" w:name="_Toc479794957"/>
      <w:bookmarkStart w:id="58" w:name="_Toc479794890"/>
      <w:bookmarkStart w:id="59" w:name="_Toc479794959"/>
      <w:bookmarkStart w:id="60" w:name="_Toc479794893"/>
      <w:bookmarkStart w:id="61" w:name="_Toc479794962"/>
      <w:bookmarkStart w:id="62" w:name="_Toc483922747"/>
      <w:bookmarkEnd w:id="54"/>
      <w:bookmarkEnd w:id="55"/>
      <w:bookmarkEnd w:id="56"/>
      <w:bookmarkEnd w:id="57"/>
      <w:bookmarkEnd w:id="58"/>
      <w:bookmarkEnd w:id="59"/>
      <w:bookmarkEnd w:id="60"/>
      <w:bookmarkEnd w:id="61"/>
      <w:r w:rsidRPr="00C00ADD">
        <w:t>Meldproces</w:t>
      </w:r>
      <w:bookmarkEnd w:id="62"/>
    </w:p>
    <w:p w:rsidR="002E511F" w:rsidRPr="00C00ADD" w:rsidRDefault="002E511F" w:rsidP="002E511F"/>
    <w:p w:rsidR="00F41212" w:rsidRDefault="00F41212" w:rsidP="00F41212">
      <w:pPr>
        <w:pBdr>
          <w:top w:val="single" w:sz="4" w:space="1" w:color="auto"/>
          <w:left w:val="single" w:sz="4" w:space="4" w:color="auto"/>
          <w:bottom w:val="single" w:sz="4" w:space="1" w:color="auto"/>
          <w:right w:val="single" w:sz="4" w:space="4" w:color="auto"/>
        </w:pBdr>
        <w:shd w:val="clear" w:color="auto" w:fill="BDD6EE" w:themeFill="accent1" w:themeFillTint="66"/>
      </w:pPr>
      <w:r>
        <w:rPr>
          <w:szCs w:val="17"/>
        </w:rPr>
        <w:t xml:space="preserve">Uit het onderzoek bleek dat </w:t>
      </w:r>
      <w:r w:rsidR="00C5653C">
        <w:rPr>
          <w:szCs w:val="17"/>
        </w:rPr>
        <w:t>betaaldienstverleners</w:t>
      </w:r>
      <w:r>
        <w:rPr>
          <w:szCs w:val="17"/>
        </w:rPr>
        <w:t xml:space="preserve"> niet altijd </w:t>
      </w:r>
      <w:r w:rsidRPr="000916A6">
        <w:rPr>
          <w:szCs w:val="17"/>
        </w:rPr>
        <w:t xml:space="preserve">ongebruikelijke voorgenomen transacties of uitgevoerde transacties onverwijld en volledig aan de </w:t>
      </w:r>
      <w:r w:rsidR="002B68CE">
        <w:rPr>
          <w:szCs w:val="17"/>
        </w:rPr>
        <w:t>FIU-NL</w:t>
      </w:r>
      <w:r w:rsidRPr="000916A6">
        <w:rPr>
          <w:szCs w:val="17"/>
        </w:rPr>
        <w:t xml:space="preserve"> meld</w:t>
      </w:r>
      <w:r>
        <w:rPr>
          <w:szCs w:val="17"/>
        </w:rPr>
        <w:t>en</w:t>
      </w:r>
      <w:r w:rsidRPr="000916A6">
        <w:rPr>
          <w:szCs w:val="17"/>
        </w:rPr>
        <w:t xml:space="preserve"> conform een gedocumenteerd meldproces</w:t>
      </w:r>
      <w:r w:rsidR="00704961">
        <w:rPr>
          <w:szCs w:val="17"/>
        </w:rPr>
        <w:t>.</w:t>
      </w:r>
    </w:p>
    <w:p w:rsidR="00F41212" w:rsidRDefault="00F41212" w:rsidP="004C0B1E"/>
    <w:p w:rsidR="00E15E82" w:rsidRDefault="00635347" w:rsidP="00E15E82">
      <w:r>
        <w:lastRenderedPageBreak/>
        <w:t xml:space="preserve">DNB stelde vast dat </w:t>
      </w:r>
      <w:r w:rsidR="00C5653C">
        <w:t>betaaldienstverleners</w:t>
      </w:r>
      <w:r>
        <w:t xml:space="preserve"> niet altijd onverwijld melden als gevolg van achterstanden in de alertafhandeling en </w:t>
      </w:r>
      <w:r w:rsidR="00C84CDC">
        <w:t xml:space="preserve">door </w:t>
      </w:r>
      <w:r>
        <w:t xml:space="preserve">reactieve opstelling van de alertbehandelaars. </w:t>
      </w:r>
      <w:r w:rsidR="00E15E82">
        <w:t>Volgens de wet moeten instellingen onverwijld melden, zodra het ongebruikelijke karakter van een transactie bekend is geworden</w:t>
      </w:r>
      <w:r w:rsidR="00E15E82" w:rsidRPr="00C00ADD">
        <w:t xml:space="preserve">. </w:t>
      </w:r>
      <w:r w:rsidR="00DB081F">
        <w:t xml:space="preserve">Het is denkbaar dat u als </w:t>
      </w:r>
      <w:r w:rsidR="006E4EB4">
        <w:t>betaaldienstverlener</w:t>
      </w:r>
      <w:r w:rsidR="00DB081F">
        <w:t xml:space="preserve"> bij een sterk vermoeden van witwassen of financiering van terrorisme gelijkt</w:t>
      </w:r>
      <w:r w:rsidR="00770A66">
        <w:t>ij</w:t>
      </w:r>
      <w:r w:rsidR="00DB081F">
        <w:t xml:space="preserve">dig aangifte doet bij de politie. </w:t>
      </w:r>
      <w:r w:rsidR="00E15E82">
        <w:t xml:space="preserve">Indien niet onverwijld wordt gemeld, </w:t>
      </w:r>
      <w:r w:rsidR="00E15E82" w:rsidRPr="00C00ADD">
        <w:t>bestaat</w:t>
      </w:r>
      <w:r w:rsidR="00E15E82">
        <w:t xml:space="preserve"> immers</w:t>
      </w:r>
      <w:r w:rsidR="00E15E82" w:rsidRPr="00C00ADD">
        <w:t xml:space="preserve"> het </w:t>
      </w:r>
      <w:r w:rsidR="00E15E82" w:rsidRPr="0015014D">
        <w:t xml:space="preserve">risico dat </w:t>
      </w:r>
      <w:r w:rsidR="002B68CE">
        <w:t>FIU-NL</w:t>
      </w:r>
      <w:r w:rsidR="00E15E82" w:rsidRPr="0015014D">
        <w:t xml:space="preserve"> en de opsporingsdiensten</w:t>
      </w:r>
      <w:r w:rsidR="00E15E82" w:rsidRPr="00C00ADD">
        <w:t xml:space="preserve"> relevante informatie mislopen.</w:t>
      </w:r>
    </w:p>
    <w:p w:rsidR="00E15E82" w:rsidRDefault="00E15E82" w:rsidP="00250BCF">
      <w:pPr>
        <w:pStyle w:val="Opsomming2eniveau"/>
        <w:numPr>
          <w:ilvl w:val="0"/>
          <w:numId w:val="0"/>
        </w:numPr>
        <w:shd w:val="clear" w:color="auto" w:fill="FFFFFF" w:themeFill="background1"/>
        <w:rPr>
          <w:szCs w:val="17"/>
        </w:rPr>
      </w:pPr>
    </w:p>
    <w:p w:rsidR="00250BCF" w:rsidRDefault="00250BCF" w:rsidP="00250BCF">
      <w:pPr>
        <w:pStyle w:val="Opsomming2eniveau"/>
        <w:numPr>
          <w:ilvl w:val="0"/>
          <w:numId w:val="0"/>
        </w:numPr>
        <w:shd w:val="clear" w:color="auto" w:fill="FFFFFF" w:themeFill="background1"/>
        <w:rPr>
          <w:szCs w:val="17"/>
        </w:rPr>
      </w:pPr>
      <w:r w:rsidRPr="000916A6">
        <w:rPr>
          <w:szCs w:val="17"/>
        </w:rPr>
        <w:t xml:space="preserve">Het spreekt voor zich dat u als </w:t>
      </w:r>
      <w:r w:rsidR="006E4EB4">
        <w:rPr>
          <w:szCs w:val="17"/>
        </w:rPr>
        <w:t>betaaldienstverlener</w:t>
      </w:r>
      <w:r w:rsidRPr="000916A6">
        <w:rPr>
          <w:szCs w:val="17"/>
        </w:rPr>
        <w:t xml:space="preserve"> ongebruikelijke voorgenomen </w:t>
      </w:r>
      <w:r>
        <w:rPr>
          <w:szCs w:val="17"/>
        </w:rPr>
        <w:t>en</w:t>
      </w:r>
      <w:r w:rsidRPr="000916A6">
        <w:rPr>
          <w:szCs w:val="17"/>
        </w:rPr>
        <w:t xml:space="preserve"> uitgevoerde transacties onverwijld en volledig aan de </w:t>
      </w:r>
      <w:r w:rsidR="002B68CE">
        <w:rPr>
          <w:szCs w:val="17"/>
        </w:rPr>
        <w:t>FIU-NL</w:t>
      </w:r>
      <w:r w:rsidRPr="000916A6">
        <w:rPr>
          <w:szCs w:val="17"/>
        </w:rPr>
        <w:t xml:space="preserve"> meldt conform een </w:t>
      </w:r>
      <w:r w:rsidR="009A3E67">
        <w:rPr>
          <w:szCs w:val="17"/>
        </w:rPr>
        <w:t xml:space="preserve">adequaat en </w:t>
      </w:r>
      <w:r w:rsidRPr="000916A6">
        <w:rPr>
          <w:szCs w:val="17"/>
        </w:rPr>
        <w:t>gedocum</w:t>
      </w:r>
      <w:r>
        <w:rPr>
          <w:szCs w:val="17"/>
        </w:rPr>
        <w:t xml:space="preserve">enteerd meldproces. Belangrijk bij dit meldproces </w:t>
      </w:r>
      <w:r w:rsidRPr="000916A6">
        <w:rPr>
          <w:szCs w:val="17"/>
        </w:rPr>
        <w:t>is dat eerdere en aanverwante transacties van de cliënt</w:t>
      </w:r>
      <w:r>
        <w:rPr>
          <w:szCs w:val="17"/>
        </w:rPr>
        <w:t xml:space="preserve"> </w:t>
      </w:r>
      <w:r w:rsidR="00E15E82">
        <w:rPr>
          <w:szCs w:val="17"/>
        </w:rPr>
        <w:t xml:space="preserve">in het onderzoek </w:t>
      </w:r>
      <w:r>
        <w:rPr>
          <w:szCs w:val="17"/>
        </w:rPr>
        <w:t xml:space="preserve">worden betrokken </w:t>
      </w:r>
      <w:r w:rsidRPr="000916A6">
        <w:rPr>
          <w:szCs w:val="17"/>
        </w:rPr>
        <w:t>en dat daarbij het risico</w:t>
      </w:r>
      <w:r>
        <w:rPr>
          <w:szCs w:val="17"/>
        </w:rPr>
        <w:t>profiel van de klant</w:t>
      </w:r>
      <w:r w:rsidRPr="000916A6">
        <w:rPr>
          <w:szCs w:val="17"/>
        </w:rPr>
        <w:t xml:space="preserve"> en </w:t>
      </w:r>
      <w:r>
        <w:rPr>
          <w:szCs w:val="17"/>
        </w:rPr>
        <w:t xml:space="preserve">het bijbehorende </w:t>
      </w:r>
      <w:r w:rsidRPr="000916A6">
        <w:rPr>
          <w:szCs w:val="17"/>
        </w:rPr>
        <w:t xml:space="preserve">transactieprofiel wordt </w:t>
      </w:r>
      <w:r>
        <w:rPr>
          <w:szCs w:val="17"/>
        </w:rPr>
        <w:t>heroverwogen</w:t>
      </w:r>
      <w:r w:rsidRPr="000916A6">
        <w:rPr>
          <w:szCs w:val="17"/>
        </w:rPr>
        <w:t>.</w:t>
      </w:r>
      <w:r w:rsidR="00681FDA">
        <w:rPr>
          <w:szCs w:val="17"/>
        </w:rPr>
        <w:t xml:space="preserve"> </w:t>
      </w:r>
      <w:r w:rsidR="00681FDA" w:rsidRPr="00550190">
        <w:rPr>
          <w:szCs w:val="17"/>
        </w:rPr>
        <w:t xml:space="preserve">Wanneer een subjectieve melding wordt gedaan dient duidelijk te worden aangegeven waarom de (reeks van) transactie(s) ongebruikelijk is. </w:t>
      </w:r>
      <w:r w:rsidR="007B3958" w:rsidRPr="00550190">
        <w:rPr>
          <w:szCs w:val="17"/>
        </w:rPr>
        <w:t xml:space="preserve">Hierbij wordt u verzocht </w:t>
      </w:r>
      <w:r w:rsidR="00681FDA" w:rsidRPr="00550190">
        <w:rPr>
          <w:szCs w:val="17"/>
        </w:rPr>
        <w:t>zoveel mogelijk</w:t>
      </w:r>
      <w:r w:rsidR="00EC1D3B" w:rsidRPr="00550190">
        <w:rPr>
          <w:szCs w:val="17"/>
        </w:rPr>
        <w:t xml:space="preserve"> aanvullende</w:t>
      </w:r>
      <w:r w:rsidR="00681FDA" w:rsidRPr="00550190">
        <w:rPr>
          <w:szCs w:val="17"/>
        </w:rPr>
        <w:t xml:space="preserve"> informatie uit het onderzoek over zowel de betaler als de begunstigde met de melding mee te geven (bijvoorbeeld ook informatie van open bronnen en transactiepatronen).</w:t>
      </w:r>
    </w:p>
    <w:p w:rsidR="00250BCF" w:rsidRDefault="00250BCF" w:rsidP="004C0B1E"/>
    <w:p w:rsidR="002578ED" w:rsidRDefault="006E4EB4" w:rsidP="004C0B1E">
      <w:r>
        <w:t>U</w:t>
      </w:r>
      <w:r w:rsidR="00235886">
        <w:t xml:space="preserve"> draag</w:t>
      </w:r>
      <w:r w:rsidR="000D1890">
        <w:t xml:space="preserve">t er zorg </w:t>
      </w:r>
      <w:r w:rsidR="008B193D">
        <w:t xml:space="preserve">voor </w:t>
      </w:r>
      <w:r w:rsidR="000D1890">
        <w:t>dat er adequate (</w:t>
      </w:r>
      <w:r w:rsidR="00A3788E">
        <w:t>beschreven</w:t>
      </w:r>
      <w:r w:rsidR="000D1890">
        <w:t>)</w:t>
      </w:r>
      <w:r w:rsidR="00235886">
        <w:t xml:space="preserve"> processen</w:t>
      </w:r>
      <w:r w:rsidR="001D3454">
        <w:t xml:space="preserve"> zijn om </w:t>
      </w:r>
      <w:r w:rsidR="008B193D">
        <w:t xml:space="preserve">onverwijld </w:t>
      </w:r>
      <w:r w:rsidR="001D3454">
        <w:t xml:space="preserve">transacties waarbij </w:t>
      </w:r>
      <w:r w:rsidR="001D3454" w:rsidRPr="001D3454">
        <w:t xml:space="preserve">aanleiding </w:t>
      </w:r>
      <w:r w:rsidR="001D3454">
        <w:t>is</w:t>
      </w:r>
      <w:r w:rsidR="001D3454" w:rsidRPr="001D3454">
        <w:t xml:space="preserve"> om te veronderstellen dat deze verband k</w:t>
      </w:r>
      <w:r w:rsidR="008B193D">
        <w:t>unnen</w:t>
      </w:r>
      <w:r w:rsidR="001D3454" w:rsidRPr="001D3454">
        <w:t xml:space="preserve"> houden met witwassen of financieren van terrorisme</w:t>
      </w:r>
      <w:r w:rsidR="00704961">
        <w:t xml:space="preserve"> aan de </w:t>
      </w:r>
      <w:r w:rsidR="002B68CE">
        <w:t>FIU-NL</w:t>
      </w:r>
      <w:r w:rsidR="00704961" w:rsidRPr="0015014D">
        <w:t xml:space="preserve"> te melden</w:t>
      </w:r>
      <w:r w:rsidR="006D4D03">
        <w:t xml:space="preserve">. </w:t>
      </w:r>
      <w:r w:rsidR="004C0B1E">
        <w:t xml:space="preserve">Dit </w:t>
      </w:r>
      <w:r w:rsidR="004C0B1E" w:rsidRPr="00C00ADD">
        <w:t xml:space="preserve">betekent </w:t>
      </w:r>
      <w:r w:rsidR="004C0B1E">
        <w:t xml:space="preserve">ook dat </w:t>
      </w:r>
      <w:r w:rsidR="004C0B1E" w:rsidRPr="00C00ADD">
        <w:t>alle relevante informatie rondom een melding binnen de in de wet gestelde voorwaarden en uitzonderingen geheim wordt gehouden</w:t>
      </w:r>
      <w:r w:rsidR="000D1890">
        <w:t xml:space="preserve">. </w:t>
      </w:r>
      <w:r w:rsidR="00633E8E" w:rsidRPr="00F63429">
        <w:t xml:space="preserve">De uitgangspunten daarvoor </w:t>
      </w:r>
      <w:r w:rsidR="00633E8E">
        <w:t xml:space="preserve">zijn </w:t>
      </w:r>
      <w:r w:rsidR="00633E8E" w:rsidRPr="00F63429">
        <w:t xml:space="preserve">in het beleid en procedures van de </w:t>
      </w:r>
      <w:r w:rsidR="00A83D75">
        <w:t>instelling</w:t>
      </w:r>
      <w:r w:rsidR="00633E8E">
        <w:t xml:space="preserve"> vast</w:t>
      </w:r>
      <w:r w:rsidR="00633E8E" w:rsidRPr="00F63429">
        <w:t>gelegd</w:t>
      </w:r>
      <w:r w:rsidR="00633E8E">
        <w:t xml:space="preserve">. DNB verwacht dat de </w:t>
      </w:r>
      <w:r>
        <w:t>instelling</w:t>
      </w:r>
      <w:r w:rsidR="00633E8E">
        <w:t xml:space="preserve"> erop toeziet</w:t>
      </w:r>
      <w:r w:rsidR="00633E8E" w:rsidRPr="00F63429">
        <w:t xml:space="preserve"> dat </w:t>
      </w:r>
      <w:r w:rsidR="00B86ABF">
        <w:t>beleid en procedures</w:t>
      </w:r>
      <w:r w:rsidR="00B86ABF" w:rsidRPr="00F63429">
        <w:t xml:space="preserve"> </w:t>
      </w:r>
      <w:r w:rsidR="00633E8E">
        <w:t>word</w:t>
      </w:r>
      <w:r w:rsidR="00B86ABF">
        <w:t>en</w:t>
      </w:r>
      <w:r w:rsidR="00633E8E">
        <w:t xml:space="preserve"> </w:t>
      </w:r>
      <w:r w:rsidR="00633E8E" w:rsidRPr="00F63429">
        <w:t xml:space="preserve">doorvertaald in bijvoorbeeld de juiste </w:t>
      </w:r>
      <w:r w:rsidR="00633E8E">
        <w:t>toegangsrechten</w:t>
      </w:r>
      <w:r w:rsidR="00633E8E" w:rsidRPr="00F63429">
        <w:t> van kernsystemen</w:t>
      </w:r>
      <w:r w:rsidR="00633E8E">
        <w:t xml:space="preserve"> die worden gebruikt</w:t>
      </w:r>
      <w:r w:rsidR="00633E8E" w:rsidRPr="00F63429">
        <w:t xml:space="preserve"> voor case management en meldingen, beveiliging van informatiestromen en </w:t>
      </w:r>
      <w:r w:rsidR="00633E8E">
        <w:t xml:space="preserve">dat hierover </w:t>
      </w:r>
      <w:r w:rsidR="00633E8E" w:rsidRPr="00F63429">
        <w:t>guidance</w:t>
      </w:r>
      <w:r w:rsidR="00E15E82">
        <w:t xml:space="preserve"> en </w:t>
      </w:r>
      <w:r w:rsidR="00633E8E" w:rsidRPr="00F63429">
        <w:t xml:space="preserve">training </w:t>
      </w:r>
      <w:r w:rsidR="00633E8E">
        <w:t xml:space="preserve">wordt </w:t>
      </w:r>
      <w:r w:rsidR="00633E8E" w:rsidRPr="00F63429">
        <w:t>verstrekt aan betrokken medewerkers.</w:t>
      </w:r>
      <w:r w:rsidR="00633E8E">
        <w:t xml:space="preserve"> </w:t>
      </w:r>
      <w:r w:rsidR="002578ED">
        <w:t>Deze guidance en training is vooral van belang voor eerstelijnmedewerkers die contact hebben met cliënt</w:t>
      </w:r>
      <w:r w:rsidR="008B193D">
        <w:t>en</w:t>
      </w:r>
      <w:r w:rsidR="002578ED">
        <w:t>. Voor deze medewerkers is het essentieel om te weten wanneer er mogelijk sprake is van ongebruikelijke transacties</w:t>
      </w:r>
      <w:r w:rsidR="00C84CDC">
        <w:t>,</w:t>
      </w:r>
      <w:r w:rsidR="002578ED">
        <w:t xml:space="preserve"> welke vragen dan gesteld moeten worden</w:t>
      </w:r>
      <w:r w:rsidR="001E2C7A">
        <w:t xml:space="preserve"> en welke informatie onder geen beding </w:t>
      </w:r>
      <w:r w:rsidR="00550190">
        <w:t xml:space="preserve">aan de cliënt </w:t>
      </w:r>
      <w:r w:rsidR="001E2C7A">
        <w:t>mag worden gegeven</w:t>
      </w:r>
      <w:r w:rsidR="002578ED">
        <w:t>.</w:t>
      </w:r>
    </w:p>
    <w:p w:rsidR="006E4EB4" w:rsidRDefault="006E4EB4" w:rsidP="004C0B1E"/>
    <w:p w:rsidR="00550190" w:rsidRPr="00A43839" w:rsidRDefault="00550190" w:rsidP="00550190">
      <w:pPr>
        <w:pBdr>
          <w:top w:val="single" w:sz="4" w:space="1" w:color="auto"/>
          <w:left w:val="single" w:sz="4" w:space="4" w:color="auto"/>
          <w:bottom w:val="single" w:sz="4" w:space="1" w:color="auto"/>
          <w:right w:val="single" w:sz="4" w:space="4" w:color="auto"/>
        </w:pBdr>
        <w:shd w:val="clear" w:color="auto" w:fill="BDD6EE" w:themeFill="accent1" w:themeFillTint="66"/>
        <w:rPr>
          <w:b/>
          <w:szCs w:val="17"/>
        </w:rPr>
      </w:pPr>
      <w:r>
        <w:rPr>
          <w:b/>
          <w:szCs w:val="17"/>
        </w:rPr>
        <w:t>Good practice</w:t>
      </w:r>
    </w:p>
    <w:p w:rsidR="00550190" w:rsidRDefault="00550190" w:rsidP="00550190">
      <w:pPr>
        <w:pBdr>
          <w:top w:val="single" w:sz="4" w:space="1" w:color="auto"/>
          <w:left w:val="single" w:sz="4" w:space="4" w:color="auto"/>
          <w:bottom w:val="single" w:sz="4" w:space="1" w:color="auto"/>
          <w:right w:val="single" w:sz="4" w:space="4" w:color="auto"/>
        </w:pBdr>
        <w:shd w:val="clear" w:color="auto" w:fill="BDD6EE" w:themeFill="accent1" w:themeFillTint="66"/>
      </w:pPr>
      <w:r w:rsidRPr="00550190">
        <w:rPr>
          <w:szCs w:val="17"/>
        </w:rPr>
        <w:t>Een betaaldienstverlener heeft een</w:t>
      </w:r>
      <w:r w:rsidR="0038161D">
        <w:rPr>
          <w:szCs w:val="17"/>
        </w:rPr>
        <w:t xml:space="preserve"> bitcoin-exchang</w:t>
      </w:r>
      <w:r w:rsidRPr="00550190">
        <w:rPr>
          <w:szCs w:val="17"/>
        </w:rPr>
        <w:t>e partij als klant. Deze partij staat als hoog-risico geclassificeerd waardoor extra aandacht aan de transacties wordt geschonken. Uit de analyse valt op dat van een bepaalde betaalrekening op meerdere momenten voor grote bedragen aan bitcoins worden aangekocht. Deze transacties worden door de betaaldienstverlener onverwijld aan de FIU-NL gemeld.</w:t>
      </w:r>
      <w:r>
        <w:rPr>
          <w:szCs w:val="17"/>
        </w:rPr>
        <w:t xml:space="preserve"> </w:t>
      </w:r>
    </w:p>
    <w:p w:rsidR="00E15E82" w:rsidRDefault="00E15E82" w:rsidP="004C0B1E"/>
    <w:p w:rsidR="002E511F" w:rsidRPr="00D71709" w:rsidRDefault="002E511F" w:rsidP="00B67AC3">
      <w:pPr>
        <w:pStyle w:val="Kop3"/>
      </w:pPr>
      <w:bookmarkStart w:id="63" w:name="_Toc483922748"/>
      <w:bookmarkStart w:id="64" w:name="_Toc467164966"/>
      <w:r w:rsidRPr="00D71709">
        <w:t xml:space="preserve">Heroverwegen </w:t>
      </w:r>
      <w:r w:rsidRPr="00B67AC3">
        <w:t>risicoclassificatie</w:t>
      </w:r>
      <w:r w:rsidRPr="00D71709">
        <w:t xml:space="preserve"> cliënt</w:t>
      </w:r>
      <w:bookmarkEnd w:id="63"/>
      <w:r w:rsidRPr="00D71709">
        <w:t xml:space="preserve"> </w:t>
      </w:r>
      <w:bookmarkEnd w:id="64"/>
    </w:p>
    <w:p w:rsidR="002E511F" w:rsidRDefault="00BF51DA" w:rsidP="002E511F">
      <w:r>
        <w:t>I</w:t>
      </w:r>
      <w:r w:rsidR="002E511F" w:rsidRPr="00C00ADD">
        <w:t>n</w:t>
      </w:r>
      <w:r>
        <w:t xml:space="preserve">dien </w:t>
      </w:r>
      <w:r w:rsidR="002121E3">
        <w:t>uw instelling</w:t>
      </w:r>
      <w:r>
        <w:t xml:space="preserve"> transacties van een cliënt </w:t>
      </w:r>
      <w:r w:rsidR="002E511F" w:rsidRPr="00C00ADD">
        <w:t>meld</w:t>
      </w:r>
      <w:r>
        <w:t>t</w:t>
      </w:r>
      <w:r w:rsidR="002E511F" w:rsidRPr="00C00ADD">
        <w:t xml:space="preserve"> aan </w:t>
      </w:r>
      <w:r w:rsidR="002E511F" w:rsidRPr="0015014D">
        <w:t xml:space="preserve">de </w:t>
      </w:r>
      <w:r w:rsidR="002B68CE">
        <w:t>FIU-NL</w:t>
      </w:r>
      <w:r w:rsidR="002E511F" w:rsidRPr="00C00ADD">
        <w:t xml:space="preserve">, </w:t>
      </w:r>
      <w:r w:rsidR="0051793D">
        <w:t>verwacht DNB dat</w:t>
      </w:r>
      <w:r>
        <w:t xml:space="preserve"> </w:t>
      </w:r>
      <w:r w:rsidR="0051793D">
        <w:t>de instelling</w:t>
      </w:r>
      <w:r w:rsidR="002E511F" w:rsidRPr="00C00ADD">
        <w:t xml:space="preserve"> het bestaande risicoprofiel van de cliënt </w:t>
      </w:r>
      <w:r w:rsidR="0051793D">
        <w:t xml:space="preserve">(opnieuw) bekijkt </w:t>
      </w:r>
      <w:r>
        <w:t xml:space="preserve">om </w:t>
      </w:r>
      <w:r w:rsidR="002E511F" w:rsidRPr="00C00ADD">
        <w:t xml:space="preserve">te bepalen of er redenen bestaan om </w:t>
      </w:r>
      <w:r>
        <w:t>d</w:t>
      </w:r>
      <w:r w:rsidR="00A21446">
        <w:t>it profiel</w:t>
      </w:r>
      <w:r>
        <w:t xml:space="preserve"> </w:t>
      </w:r>
      <w:r w:rsidR="002E511F" w:rsidRPr="00C00ADD">
        <w:t xml:space="preserve">aan te passen. Op deze wijze borgt de instelling dat het risicoprofiel van </w:t>
      </w:r>
      <w:r w:rsidR="00DF655E">
        <w:t xml:space="preserve">de cliënt </w:t>
      </w:r>
      <w:r w:rsidR="002E511F" w:rsidRPr="00C00ADD">
        <w:t xml:space="preserve">en </w:t>
      </w:r>
      <w:r w:rsidR="00DF655E">
        <w:t xml:space="preserve">daarmee </w:t>
      </w:r>
      <w:r w:rsidR="002E511F" w:rsidRPr="00C00ADD">
        <w:t>d</w:t>
      </w:r>
      <w:r w:rsidR="00DF655E">
        <w:t>i</w:t>
      </w:r>
      <w:r w:rsidR="002E511F" w:rsidRPr="00C00ADD">
        <w:t>e</w:t>
      </w:r>
      <w:r w:rsidR="00DF655E">
        <w:t>ns</w:t>
      </w:r>
      <w:r w:rsidR="002E511F" w:rsidRPr="00C00ADD">
        <w:t xml:space="preserve"> risicoclassificatie na </w:t>
      </w:r>
      <w:r w:rsidR="00DF655E">
        <w:t xml:space="preserve">melding van </w:t>
      </w:r>
      <w:r w:rsidR="002E511F" w:rsidRPr="00C00ADD">
        <w:t xml:space="preserve">een ongebruikelijke transactie, aansluit bij de </w:t>
      </w:r>
      <w:r>
        <w:t xml:space="preserve">witwas- </w:t>
      </w:r>
      <w:r w:rsidR="00DF655E">
        <w:t xml:space="preserve">of </w:t>
      </w:r>
      <w:r>
        <w:t>terrorismefinancierings</w:t>
      </w:r>
      <w:r w:rsidR="002E511F" w:rsidRPr="00C00ADD">
        <w:t xml:space="preserve">risico’s van de cliënt. </w:t>
      </w:r>
      <w:r w:rsidR="00F04FC7">
        <w:t xml:space="preserve">Ook indien </w:t>
      </w:r>
      <w:r w:rsidR="002121E3">
        <w:t>u</w:t>
      </w:r>
      <w:r w:rsidR="00DF655E">
        <w:t xml:space="preserve"> </w:t>
      </w:r>
      <w:r w:rsidR="00F04FC7">
        <w:t xml:space="preserve">van de </w:t>
      </w:r>
      <w:r w:rsidR="002B68CE">
        <w:t>FIU-NL</w:t>
      </w:r>
      <w:r w:rsidR="00F04FC7">
        <w:t xml:space="preserve"> een terugmelding ontvangt dat </w:t>
      </w:r>
      <w:r w:rsidR="00A21446">
        <w:t xml:space="preserve">de </w:t>
      </w:r>
      <w:r w:rsidR="00F04FC7">
        <w:t xml:space="preserve">transactie als verdacht is doorgemeld naar de opsporingsautoriteiten, beoordeelt </w:t>
      </w:r>
      <w:r w:rsidR="002121E3">
        <w:t>uw</w:t>
      </w:r>
      <w:r w:rsidR="00D576D9">
        <w:t xml:space="preserve"> instelling het risicoprofiel van de cliënt en past deze indien nodig aan.</w:t>
      </w:r>
    </w:p>
    <w:p w:rsidR="00F04FC7" w:rsidRDefault="00F04FC7" w:rsidP="002E511F"/>
    <w:p w:rsidR="00B80A22" w:rsidRPr="009365A5" w:rsidRDefault="0051793D" w:rsidP="00253A63">
      <w:r>
        <w:t xml:space="preserve">DNB gaat ervan uit dat </w:t>
      </w:r>
      <w:r w:rsidR="00C5653C">
        <w:t>betaaldienstverleners</w:t>
      </w:r>
      <w:r>
        <w:t xml:space="preserve"> ervoor zorgen</w:t>
      </w:r>
      <w:r w:rsidR="00F04FC7">
        <w:t xml:space="preserve"> </w:t>
      </w:r>
      <w:r w:rsidR="00A21446">
        <w:t xml:space="preserve">dat </w:t>
      </w:r>
      <w:r w:rsidR="00F04FC7">
        <w:t>de analisten die de ale</w:t>
      </w:r>
      <w:r w:rsidR="00D576D9">
        <w:t>r</w:t>
      </w:r>
      <w:r w:rsidR="00F04FC7">
        <w:t>ts beoordelen en teru</w:t>
      </w:r>
      <w:r w:rsidR="00D576D9">
        <w:t>g</w:t>
      </w:r>
      <w:r w:rsidR="00F04FC7">
        <w:t>meldi</w:t>
      </w:r>
      <w:r w:rsidR="00BD2CD7">
        <w:t>ng</w:t>
      </w:r>
      <w:r w:rsidR="00F04FC7">
        <w:t>en ontvangen</w:t>
      </w:r>
      <w:r w:rsidR="00A21446">
        <w:t>,</w:t>
      </w:r>
      <w:r w:rsidR="00F04FC7">
        <w:t xml:space="preserve"> </w:t>
      </w:r>
      <w:r w:rsidR="003611AE">
        <w:t xml:space="preserve">mogelijkheden hebben om </w:t>
      </w:r>
      <w:r w:rsidR="00C84CDC">
        <w:t xml:space="preserve">zelf </w:t>
      </w:r>
      <w:r w:rsidR="00D576D9">
        <w:t>het risicoprofiel van de cliënt te herbeoordelen</w:t>
      </w:r>
      <w:r w:rsidR="00C84CDC">
        <w:t>, of dat zij</w:t>
      </w:r>
      <w:r w:rsidR="00D576D9">
        <w:t xml:space="preserve"> </w:t>
      </w:r>
      <w:r w:rsidR="00DF655E">
        <w:t xml:space="preserve">aan </w:t>
      </w:r>
      <w:r w:rsidR="003611AE">
        <w:t>de med</w:t>
      </w:r>
      <w:r w:rsidR="00BD2CD7">
        <w:t>e</w:t>
      </w:r>
      <w:r w:rsidR="003611AE">
        <w:t xml:space="preserve">werkers die </w:t>
      </w:r>
      <w:r w:rsidR="00D576D9">
        <w:t>verantwoordelijk</w:t>
      </w:r>
      <w:r w:rsidR="003611AE">
        <w:t xml:space="preserve"> zijn voor de klantbeoordeling </w:t>
      </w:r>
      <w:r w:rsidR="00BD2CD7">
        <w:t xml:space="preserve">aan </w:t>
      </w:r>
      <w:r w:rsidR="00DF655E">
        <w:t xml:space="preserve">kunnen </w:t>
      </w:r>
      <w:r w:rsidR="00BD2CD7">
        <w:t>geven dat herbeoordeling noodzakelijk is. D</w:t>
      </w:r>
      <w:r>
        <w:t>NB verwacht dat d</w:t>
      </w:r>
      <w:r w:rsidR="00BD2CD7">
        <w:t xml:space="preserve">oor middel van het quality assurance proces wordt gemonitord of dergelijke herbeoordelingen </w:t>
      </w:r>
      <w:r>
        <w:t xml:space="preserve">adequaat </w:t>
      </w:r>
      <w:r w:rsidR="00BD2CD7">
        <w:t>worden uitgevoerd.</w:t>
      </w:r>
    </w:p>
    <w:p w:rsidR="00E15E82" w:rsidRPr="00D71709" w:rsidRDefault="00E15E82" w:rsidP="00E15E82">
      <w:pPr>
        <w:pStyle w:val="Kop3"/>
      </w:pPr>
      <w:bookmarkStart w:id="65" w:name="_Toc483922749"/>
      <w:r w:rsidRPr="00D740C4">
        <w:t>Objectieve</w:t>
      </w:r>
      <w:r w:rsidRPr="00D71709">
        <w:t xml:space="preserve"> indicatoren</w:t>
      </w:r>
      <w:bookmarkEnd w:id="65"/>
    </w:p>
    <w:p w:rsidR="00550190" w:rsidRDefault="00E15E82" w:rsidP="00550190">
      <w:pPr>
        <w:spacing w:after="160"/>
      </w:pPr>
      <w:r w:rsidRPr="00C00ADD">
        <w:t xml:space="preserve">Diverse </w:t>
      </w:r>
      <w:r w:rsidR="00C5653C">
        <w:t>betaaldienstverleners</w:t>
      </w:r>
      <w:r w:rsidRPr="00C00ADD">
        <w:t xml:space="preserve"> </w:t>
      </w:r>
      <w:r>
        <w:t>hebben</w:t>
      </w:r>
      <w:r w:rsidRPr="00C00ADD">
        <w:t xml:space="preserve"> gezien de aard van hun werkzaamheden vaak te maken met transacties die voldoen aan één van de objectieve indicatoren voor het melden van ongebruikelijke transacties</w:t>
      </w:r>
      <w:r>
        <w:t xml:space="preserve">. Om ervoor te zorgen dat deze onverwijld aan de </w:t>
      </w:r>
      <w:r w:rsidR="002B68CE">
        <w:t>FIU-NL</w:t>
      </w:r>
      <w:r>
        <w:t xml:space="preserve"> gemeld worden</w:t>
      </w:r>
      <w:r w:rsidR="00C84CDC">
        <w:t>,</w:t>
      </w:r>
      <w:r>
        <w:t xml:space="preserve"> zou </w:t>
      </w:r>
      <w:r w:rsidRPr="00C00ADD">
        <w:t>een too</w:t>
      </w:r>
      <w:r>
        <w:t>l of functionaliteit binnen het transactiemonitorings</w:t>
      </w:r>
      <w:r w:rsidRPr="00C00ADD">
        <w:t>systeem ingesteld</w:t>
      </w:r>
      <w:r>
        <w:t xml:space="preserve"> kunnen worden</w:t>
      </w:r>
      <w:r w:rsidRPr="00C00ADD">
        <w:t xml:space="preserve">, waardoor transacties die aan deze objectieve indicator voldoen, automatisch worden gemeld aan de </w:t>
      </w:r>
      <w:r w:rsidR="002B68CE">
        <w:t>FIU-NL</w:t>
      </w:r>
      <w:r w:rsidRPr="00C00ADD">
        <w:t xml:space="preserve">. </w:t>
      </w:r>
      <w:r w:rsidRPr="00C00ADD">
        <w:lastRenderedPageBreak/>
        <w:t>Hiermee voorkomen deze instellingen dat deze transacties mogelijk niet onverwijld gemeld worden en halen ze een administratieve last weg bij degene die hiervoor verantwoordelijk is.</w:t>
      </w:r>
      <w:r>
        <w:t xml:space="preserve"> </w:t>
      </w:r>
    </w:p>
    <w:p w:rsidR="00550190" w:rsidRDefault="00550190" w:rsidP="00550190">
      <w:r w:rsidRPr="00C022A0">
        <w:t>Bepaalde transacties, bijvoorbeeld creditcardtransacties boven de EUR 15.000,- zult u altijd aan de FIU-NL moeten melden</w:t>
      </w:r>
      <w:r w:rsidRPr="00C022A0">
        <w:rPr>
          <w:rStyle w:val="Voetnootmarkering"/>
        </w:rPr>
        <w:footnoteReference w:id="18"/>
      </w:r>
      <w:r w:rsidRPr="00C022A0">
        <w:t>. Op het moment dat een instelling – al dan niet opzettelijk- niet voldoet aan de meldplicht, is dit een economisch delict.</w:t>
      </w:r>
    </w:p>
    <w:p w:rsidR="00550190" w:rsidRDefault="00550190" w:rsidP="00550190"/>
    <w:p w:rsidR="00B91E95" w:rsidRDefault="00B91E95" w:rsidP="00B91E95">
      <w:pPr>
        <w:shd w:val="clear" w:color="auto" w:fill="FFFFFF" w:themeFill="background1"/>
      </w:pPr>
    </w:p>
    <w:p w:rsidR="00EE0B3C" w:rsidRPr="00550190" w:rsidRDefault="00EE0B3C" w:rsidP="00550190">
      <w:pPr>
        <w:pBdr>
          <w:top w:val="single" w:sz="4" w:space="1" w:color="auto"/>
          <w:left w:val="single" w:sz="4" w:space="4" w:color="auto"/>
          <w:bottom w:val="single" w:sz="4" w:space="0" w:color="auto"/>
          <w:right w:val="single" w:sz="4" w:space="4" w:color="auto"/>
        </w:pBdr>
        <w:shd w:val="clear" w:color="auto" w:fill="BDD6EE" w:themeFill="accent1" w:themeFillTint="66"/>
        <w:rPr>
          <w:b/>
        </w:rPr>
      </w:pPr>
      <w:r w:rsidRPr="00550190">
        <w:rPr>
          <w:b/>
        </w:rPr>
        <w:t>Bad practice</w:t>
      </w:r>
    </w:p>
    <w:p w:rsidR="00B91E95" w:rsidRDefault="00B91E95" w:rsidP="00550190">
      <w:pPr>
        <w:pBdr>
          <w:top w:val="single" w:sz="4" w:space="1" w:color="auto"/>
          <w:left w:val="single" w:sz="4" w:space="4" w:color="auto"/>
          <w:bottom w:val="single" w:sz="4" w:space="0" w:color="auto"/>
          <w:right w:val="single" w:sz="4" w:space="4" w:color="auto"/>
        </w:pBdr>
        <w:shd w:val="clear" w:color="auto" w:fill="BDD6EE" w:themeFill="accent1" w:themeFillTint="66"/>
      </w:pPr>
      <w:r w:rsidRPr="00550190">
        <w:t>Een onderzochte betaaldienstverlener gaf aan dat zij dermate veel creditcard transacties boven de EUR 15.000 per week faciliteert dat zij was gestop</w:t>
      </w:r>
      <w:r w:rsidR="006325B8" w:rsidRPr="00550190">
        <w:t>t</w:t>
      </w:r>
      <w:r w:rsidRPr="00550190">
        <w:t xml:space="preserve"> met het melden aan de FIU-NL. Het kost</w:t>
      </w:r>
      <w:r w:rsidR="006325B8" w:rsidRPr="00550190">
        <w:t>t</w:t>
      </w:r>
      <w:r w:rsidRPr="00550190">
        <w:t>e te veel tijd om steeds handmatig het formulier van de FIU-NL in te vullen. Hiervoor was geen capaciteit beschikbaar.</w:t>
      </w:r>
      <w:r w:rsidR="00EE0B3C" w:rsidRPr="00550190">
        <w:t xml:space="preserve"> Op de vraag waarom geen tool aanwezig was waarmee automatisch werd gemeld aan FIU-NL werd DNB meegedeeld dat voor het maken van deze tool ook geen capaciteit beschikbaar was.</w:t>
      </w:r>
      <w:r w:rsidRPr="00550190">
        <w:t xml:space="preserve"> </w:t>
      </w:r>
    </w:p>
    <w:p w:rsidR="00B91E95" w:rsidRDefault="00B91E95" w:rsidP="00E15E82">
      <w:pPr>
        <w:spacing w:after="160"/>
      </w:pPr>
    </w:p>
    <w:p w:rsidR="00445C98" w:rsidRPr="00C00ADD" w:rsidRDefault="00D23B71" w:rsidP="00D23B71">
      <w:pPr>
        <w:pStyle w:val="Kop2"/>
      </w:pPr>
      <w:bookmarkStart w:id="66" w:name="_Toc479794897"/>
      <w:bookmarkStart w:id="67" w:name="_Toc479794966"/>
      <w:bookmarkStart w:id="68" w:name="_Toc479794898"/>
      <w:bookmarkStart w:id="69" w:name="_Toc479794967"/>
      <w:bookmarkStart w:id="70" w:name="_Toc483922750"/>
      <w:bookmarkEnd w:id="66"/>
      <w:bookmarkEnd w:id="67"/>
      <w:bookmarkEnd w:id="68"/>
      <w:bookmarkEnd w:id="69"/>
      <w:r>
        <w:t>Governance</w:t>
      </w:r>
      <w:bookmarkEnd w:id="70"/>
    </w:p>
    <w:p w:rsidR="00253A63" w:rsidRDefault="00253A63" w:rsidP="00E57BE1">
      <w:pPr>
        <w:spacing w:after="160"/>
        <w:rPr>
          <w:b/>
          <w:szCs w:val="17"/>
        </w:rPr>
      </w:pPr>
    </w:p>
    <w:p w:rsidR="003E2E1A" w:rsidRPr="00F90D70" w:rsidRDefault="003E2E1A" w:rsidP="003E2E1A">
      <w:pPr>
        <w:pBdr>
          <w:top w:val="single" w:sz="4" w:space="1" w:color="auto"/>
          <w:left w:val="single" w:sz="4" w:space="4" w:color="auto"/>
          <w:bottom w:val="single" w:sz="4" w:space="1" w:color="auto"/>
          <w:right w:val="single" w:sz="4" w:space="4" w:color="auto"/>
        </w:pBdr>
        <w:shd w:val="clear" w:color="auto" w:fill="BDD6EE" w:themeFill="accent1" w:themeFillTint="66"/>
      </w:pPr>
      <w:r>
        <w:t>De governance ten aanzien van transactiemonitoring bleek met name wat betreft de rolverdeling van de</w:t>
      </w:r>
      <w:r w:rsidR="00D27D83">
        <w:t xml:space="preserve"> 3</w:t>
      </w:r>
      <w:r>
        <w:t xml:space="preserve"> lines of defense niet op orde te zijn</w:t>
      </w:r>
    </w:p>
    <w:p w:rsidR="003E2E1A" w:rsidRDefault="003E2E1A" w:rsidP="00E57BE1">
      <w:pPr>
        <w:spacing w:after="160"/>
        <w:rPr>
          <w:b/>
          <w:szCs w:val="17"/>
        </w:rPr>
      </w:pPr>
    </w:p>
    <w:p w:rsidR="003E2E1A" w:rsidRDefault="0051793D" w:rsidP="003E2E1A">
      <w:pPr>
        <w:shd w:val="clear" w:color="auto" w:fill="FFFFFF" w:themeFill="background1"/>
        <w:spacing w:line="240" w:lineRule="auto"/>
      </w:pPr>
      <w:r>
        <w:t xml:space="preserve">Uit de onderzoeken is gebleken dat </w:t>
      </w:r>
      <w:r w:rsidR="00C5653C">
        <w:t>betaaldienstverleners</w:t>
      </w:r>
      <w:r>
        <w:t xml:space="preserve"> de governance omtrent transactiemonitoring op verschillende wijze</w:t>
      </w:r>
      <w:r w:rsidR="005B3167">
        <w:t>n</w:t>
      </w:r>
      <w:r>
        <w:t xml:space="preserve"> hadden ingericht. </w:t>
      </w:r>
      <w:r w:rsidR="00C2749A">
        <w:t xml:space="preserve">Bij meerdere </w:t>
      </w:r>
      <w:r w:rsidR="00C5653C">
        <w:t>betaaldienstverleners</w:t>
      </w:r>
      <w:r w:rsidR="00C2749A">
        <w:t xml:space="preserve"> ontbrak de </w:t>
      </w:r>
      <w:r w:rsidR="00BA14B3">
        <w:t xml:space="preserve">controle </w:t>
      </w:r>
      <w:r w:rsidR="00C2749A">
        <w:t>door de</w:t>
      </w:r>
      <w:r w:rsidR="005B3167">
        <w:t>ze</w:t>
      </w:r>
      <w:r w:rsidR="00C2749A">
        <w:t xml:space="preserve"> </w:t>
      </w:r>
      <w:r w:rsidR="005B3167">
        <w:t xml:space="preserve">tweede </w:t>
      </w:r>
      <w:r w:rsidR="00C2749A">
        <w:t xml:space="preserve">lijn ten aanzien van de door de </w:t>
      </w:r>
      <w:r w:rsidR="005B3167">
        <w:t>eerste</w:t>
      </w:r>
      <w:r w:rsidR="00C2749A">
        <w:t xml:space="preserve"> lijn uitgevoerde transactiemonitoring activiteiten. </w:t>
      </w:r>
      <w:r w:rsidR="00D27D83">
        <w:t>Veel</w:t>
      </w:r>
      <w:r w:rsidR="00C2749A">
        <w:t xml:space="preserve"> </w:t>
      </w:r>
      <w:r w:rsidR="00C5653C">
        <w:t>betaaldienstverleners</w:t>
      </w:r>
      <w:r w:rsidR="00C2749A">
        <w:t xml:space="preserve"> </w:t>
      </w:r>
      <w:r w:rsidR="00D27D83">
        <w:t>hadden ook g</w:t>
      </w:r>
      <w:r w:rsidR="00C2749A">
        <w:t xml:space="preserve">een </w:t>
      </w:r>
      <w:r w:rsidR="00BA14B3">
        <w:t>controle</w:t>
      </w:r>
      <w:r w:rsidR="00C2749A">
        <w:t xml:space="preserve">programma voor </w:t>
      </w:r>
      <w:r w:rsidR="00734EFD">
        <w:t xml:space="preserve">het </w:t>
      </w:r>
      <w:r w:rsidR="00C2749A">
        <w:t>cliëntenonderzoek</w:t>
      </w:r>
      <w:r w:rsidR="00C84CDC" w:rsidRPr="00C84CDC">
        <w:t xml:space="preserve"> </w:t>
      </w:r>
      <w:r w:rsidR="00C84CDC">
        <w:t>door de tweede lijn ingericht</w:t>
      </w:r>
      <w:r w:rsidR="00D27D83">
        <w:t>.</w:t>
      </w:r>
      <w:r w:rsidR="00C2749A">
        <w:t xml:space="preserve"> </w:t>
      </w:r>
    </w:p>
    <w:p w:rsidR="00DB41FB" w:rsidRDefault="00DB41FB" w:rsidP="003E2E1A">
      <w:pPr>
        <w:shd w:val="clear" w:color="auto" w:fill="FFFFFF" w:themeFill="background1"/>
        <w:spacing w:line="240" w:lineRule="auto"/>
      </w:pPr>
    </w:p>
    <w:p w:rsidR="00DB41FB" w:rsidRDefault="00DB41FB" w:rsidP="003E2E1A">
      <w:pPr>
        <w:shd w:val="clear" w:color="auto" w:fill="FFFFFF" w:themeFill="background1"/>
        <w:spacing w:line="240" w:lineRule="auto"/>
      </w:pPr>
      <w:r w:rsidRPr="00550190">
        <w:rPr>
          <w:szCs w:val="17"/>
        </w:rPr>
        <w:t xml:space="preserve">Tijdens het onderzoek heeft DNB geconstateerd dat nog niet alle onderzochte instellingen beschikten over een onafhankelijke controle functie (de derdelijnsfunctie, veelal de interne of extern belegde </w:t>
      </w:r>
      <w:r w:rsidR="006325B8" w:rsidRPr="00550190">
        <w:rPr>
          <w:szCs w:val="17"/>
        </w:rPr>
        <w:t>audit</w:t>
      </w:r>
      <w:r w:rsidRPr="00550190">
        <w:rPr>
          <w:szCs w:val="17"/>
        </w:rPr>
        <w:t>functie) die door middel van audits periodiek een oordeel vormt over de opzet, bestaan en werking van het transactiemonitoringssysteem en -proces.</w:t>
      </w:r>
    </w:p>
    <w:p w:rsidR="0051793D" w:rsidRDefault="0051793D" w:rsidP="00C2749A">
      <w:pPr>
        <w:shd w:val="clear" w:color="auto" w:fill="FFFFFF" w:themeFill="background1"/>
        <w:spacing w:line="240" w:lineRule="auto"/>
      </w:pPr>
      <w:r>
        <w:rPr>
          <w:szCs w:val="17"/>
        </w:rPr>
        <w:t>DNB verwacht dat d</w:t>
      </w:r>
      <w:r w:rsidRPr="0051793D">
        <w:rPr>
          <w:szCs w:val="17"/>
        </w:rPr>
        <w:t xml:space="preserve">e organisatie van </w:t>
      </w:r>
      <w:r w:rsidR="00D27D83">
        <w:rPr>
          <w:szCs w:val="17"/>
        </w:rPr>
        <w:t>een betaaldienstverlener</w:t>
      </w:r>
      <w:r w:rsidRPr="0051793D">
        <w:rPr>
          <w:szCs w:val="17"/>
        </w:rPr>
        <w:t xml:space="preserve"> zodanig </w:t>
      </w:r>
      <w:r w:rsidR="00652994">
        <w:rPr>
          <w:szCs w:val="17"/>
        </w:rPr>
        <w:t xml:space="preserve">is </w:t>
      </w:r>
      <w:r w:rsidRPr="0051793D">
        <w:rPr>
          <w:szCs w:val="17"/>
        </w:rPr>
        <w:t xml:space="preserve">ingericht dat de eerste lijn </w:t>
      </w:r>
      <w:r w:rsidR="00652994">
        <w:rPr>
          <w:szCs w:val="17"/>
        </w:rPr>
        <w:t xml:space="preserve">een duidelijke </w:t>
      </w:r>
      <w:r w:rsidRPr="0051793D">
        <w:rPr>
          <w:szCs w:val="17"/>
        </w:rPr>
        <w:t>verantwoordelijk</w:t>
      </w:r>
      <w:r w:rsidR="00652994">
        <w:rPr>
          <w:szCs w:val="17"/>
        </w:rPr>
        <w:t>heid heeft</w:t>
      </w:r>
      <w:r w:rsidRPr="0051793D">
        <w:rPr>
          <w:szCs w:val="17"/>
        </w:rPr>
        <w:t xml:space="preserve"> voor </w:t>
      </w:r>
      <w:r w:rsidR="00652994">
        <w:rPr>
          <w:szCs w:val="17"/>
        </w:rPr>
        <w:t xml:space="preserve">de </w:t>
      </w:r>
      <w:r w:rsidRPr="0051793D">
        <w:rPr>
          <w:szCs w:val="17"/>
        </w:rPr>
        <w:t>transactiemonitoring</w:t>
      </w:r>
      <w:r w:rsidR="00734EFD">
        <w:rPr>
          <w:szCs w:val="17"/>
        </w:rPr>
        <w:t xml:space="preserve"> en</w:t>
      </w:r>
      <w:r w:rsidRPr="0051793D">
        <w:rPr>
          <w:szCs w:val="17"/>
        </w:rPr>
        <w:t xml:space="preserve"> dat de tweede lijn (</w:t>
      </w:r>
      <w:r w:rsidR="00C05A7B">
        <w:rPr>
          <w:szCs w:val="17"/>
        </w:rPr>
        <w:t>c</w:t>
      </w:r>
      <w:r w:rsidRPr="0051793D">
        <w:rPr>
          <w:szCs w:val="17"/>
        </w:rPr>
        <w:t xml:space="preserve">ompliance) een adviserende en </w:t>
      </w:r>
      <w:r w:rsidR="00652994">
        <w:rPr>
          <w:szCs w:val="17"/>
        </w:rPr>
        <w:t>controlerende taak</w:t>
      </w:r>
      <w:r w:rsidRPr="0051793D">
        <w:rPr>
          <w:szCs w:val="17"/>
        </w:rPr>
        <w:t xml:space="preserve"> heeft</w:t>
      </w:r>
      <w:r w:rsidR="00652994">
        <w:rPr>
          <w:szCs w:val="17"/>
        </w:rPr>
        <w:t xml:space="preserve">, maar daarbij ook een taak kan hebben bij het melden van ongebruikelijke transacties aan de </w:t>
      </w:r>
      <w:r w:rsidR="002B68CE">
        <w:rPr>
          <w:szCs w:val="17"/>
        </w:rPr>
        <w:t>FIU-NL</w:t>
      </w:r>
      <w:r w:rsidR="00C2749A">
        <w:rPr>
          <w:szCs w:val="17"/>
        </w:rPr>
        <w:t xml:space="preserve">. </w:t>
      </w:r>
      <w:r w:rsidR="00D27D83">
        <w:t>Uw instelling</w:t>
      </w:r>
      <w:r w:rsidR="00C2749A" w:rsidRPr="00907658">
        <w:t xml:space="preserve"> heeft binnen de </w:t>
      </w:r>
      <w:r w:rsidR="00A0527C">
        <w:t>tweede</w:t>
      </w:r>
      <w:r w:rsidR="00C2749A" w:rsidRPr="00907658">
        <w:t xml:space="preserve"> lijn de controlerende taak (quality assurance) voor transactiemonitoring belegd</w:t>
      </w:r>
      <w:r w:rsidR="00C2749A">
        <w:t xml:space="preserve">. In de praktijk noemt men dit veelal </w:t>
      </w:r>
      <w:r w:rsidR="00C2749A" w:rsidRPr="008E3B1C">
        <w:rPr>
          <w:i/>
        </w:rPr>
        <w:t>Second Line Monitoring</w:t>
      </w:r>
      <w:r w:rsidR="00C2749A">
        <w:t xml:space="preserve">. </w:t>
      </w:r>
      <w:r w:rsidR="004A429B">
        <w:t>In het verlengde hiervan is het van belang d</w:t>
      </w:r>
      <w:r w:rsidR="00C05A7B">
        <w:t>e</w:t>
      </w:r>
      <w:r w:rsidR="004A429B">
        <w:t xml:space="preserve"> procedures en processen </w:t>
      </w:r>
      <w:r w:rsidR="00734EFD">
        <w:t xml:space="preserve">periodiek en </w:t>
      </w:r>
      <w:r w:rsidR="004A429B">
        <w:t>op systematische wijze te toetsen. Compliance voert als tweedelijnsorganisatieonderdeel structureel een monitorende rol uit en test daarnaast periodiek of maatregelen adequaat zijn of moeten worden aangepast.</w:t>
      </w:r>
      <w:r w:rsidR="00652994">
        <w:t xml:space="preserve"> Vervolgens verwacht DNB </w:t>
      </w:r>
      <w:r w:rsidR="00652994" w:rsidRPr="0051793D">
        <w:rPr>
          <w:szCs w:val="17"/>
        </w:rPr>
        <w:t xml:space="preserve">dat de derdelijnsfunctie, de onafhankelijke internecontrolefunctie, met voldoende frequentie het functioneren van de eerste en tweede lijn controleert. Daarbij zorgt de organisatie ervoor dat zij voldoende capaciteit beschikbaar stelt om </w:t>
      </w:r>
      <w:r w:rsidR="00652994">
        <w:rPr>
          <w:szCs w:val="17"/>
        </w:rPr>
        <w:t>invulling te geven aan deze rollen en taken.</w:t>
      </w:r>
    </w:p>
    <w:p w:rsidR="002E099E" w:rsidRDefault="002E099E" w:rsidP="002E099E">
      <w:r>
        <w:t xml:space="preserve"> </w:t>
      </w:r>
    </w:p>
    <w:p w:rsidR="002E099E" w:rsidRDefault="002E099E" w:rsidP="00C2749A">
      <w:pPr>
        <w:rPr>
          <w:b/>
          <w:szCs w:val="17"/>
        </w:rPr>
      </w:pPr>
      <w:r>
        <w:t xml:space="preserve">DNB verwacht dat signalen uit de </w:t>
      </w:r>
      <w:r w:rsidR="00A140C8">
        <w:t>eerste, tweede en derde</w:t>
      </w:r>
      <w:r>
        <w:t xml:space="preserve"> lijn over mogelijke tekortkomingen in het transactiemonitoringsproces en de uitkomsten hiervan door het senior management worden opgepakt. Daarom is het van belang dat </w:t>
      </w:r>
      <w:r w:rsidR="00D27D83">
        <w:t>uw instelling</w:t>
      </w:r>
      <w:r>
        <w:t xml:space="preserve"> beschik</w:t>
      </w:r>
      <w:r w:rsidR="00185159">
        <w:t>t</w:t>
      </w:r>
      <w:r>
        <w:t xml:space="preserve"> </w:t>
      </w:r>
      <w:r w:rsidR="006B14C1">
        <w:t xml:space="preserve">over adequate </w:t>
      </w:r>
      <w:r w:rsidR="00734EFD">
        <w:t xml:space="preserve">en </w:t>
      </w:r>
      <w:r w:rsidR="006B14C1">
        <w:t>periodieke managementinformatie die inzicht ge</w:t>
      </w:r>
      <w:r w:rsidR="00185159">
        <w:t>eft</w:t>
      </w:r>
      <w:r w:rsidR="006B14C1">
        <w:t xml:space="preserve"> in deze signalen en uitkomsten opdat zij daarop tijdig kan sturen. </w:t>
      </w:r>
      <w:r>
        <w:t xml:space="preserve">Zodoende vervult Compliance </w:t>
      </w:r>
      <w:r w:rsidR="00D44D53">
        <w:t>naast haar</w:t>
      </w:r>
      <w:r>
        <w:t xml:space="preserve"> adviserende </w:t>
      </w:r>
      <w:r w:rsidR="00D44D53">
        <w:t xml:space="preserve">en </w:t>
      </w:r>
      <w:r>
        <w:t>controlerende rol</w:t>
      </w:r>
      <w:r w:rsidR="00D44D53">
        <w:t>, tevens een rapporterende rol</w:t>
      </w:r>
      <w:r>
        <w:t xml:space="preserve"> ten aanzien van transactiemonitoring.</w:t>
      </w:r>
    </w:p>
    <w:p w:rsidR="00D23B71" w:rsidRDefault="00D4273C" w:rsidP="00D4273C">
      <w:pPr>
        <w:pStyle w:val="Kop2"/>
      </w:pPr>
      <w:bookmarkStart w:id="71" w:name="_Toc483922751"/>
      <w:r>
        <w:t>Training en awareness</w:t>
      </w:r>
      <w:bookmarkEnd w:id="71"/>
    </w:p>
    <w:p w:rsidR="00BA0619" w:rsidRPr="00BA0619" w:rsidRDefault="00BA0619" w:rsidP="00C5653C"/>
    <w:p w:rsidR="00C06C79" w:rsidRDefault="00C06C79" w:rsidP="00C06C79">
      <w:pPr>
        <w:pBdr>
          <w:top w:val="single" w:sz="4" w:space="1" w:color="auto"/>
          <w:left w:val="single" w:sz="4" w:space="4" w:color="auto"/>
          <w:bottom w:val="single" w:sz="4" w:space="1" w:color="auto"/>
          <w:right w:val="single" w:sz="4" w:space="4" w:color="auto"/>
        </w:pBdr>
        <w:shd w:val="clear" w:color="auto" w:fill="BDD6EE" w:themeFill="accent1" w:themeFillTint="66"/>
        <w:spacing w:after="160"/>
        <w:rPr>
          <w:b/>
        </w:rPr>
      </w:pPr>
      <w:r w:rsidRPr="000916A6">
        <w:t>Het onderzoek liet zien dat</w:t>
      </w:r>
      <w:r>
        <w:t xml:space="preserve"> de onderzochte</w:t>
      </w:r>
      <w:r w:rsidRPr="000916A6">
        <w:t xml:space="preserve"> </w:t>
      </w:r>
      <w:r w:rsidR="00C5653C">
        <w:t>betaaldienstverleners</w:t>
      </w:r>
      <w:r w:rsidRPr="000916A6">
        <w:t xml:space="preserve"> niet altijd beschikten over een toegesneden trainingsprogramma en dat </w:t>
      </w:r>
      <w:r w:rsidR="00C5653C">
        <w:t>betaaldienstverleners</w:t>
      </w:r>
      <w:r w:rsidRPr="000916A6">
        <w:t xml:space="preserve"> </w:t>
      </w:r>
      <w:r>
        <w:t xml:space="preserve">zich </w:t>
      </w:r>
      <w:r w:rsidRPr="000916A6">
        <w:t xml:space="preserve">niet altijd bewust </w:t>
      </w:r>
      <w:r>
        <w:t>toonden</w:t>
      </w:r>
      <w:r w:rsidRPr="000916A6">
        <w:t xml:space="preserve"> van witwas- en terrorismefinancieringsrisico’s</w:t>
      </w:r>
      <w:r w:rsidR="00144A0C">
        <w:t>.</w:t>
      </w:r>
    </w:p>
    <w:p w:rsidR="00550190" w:rsidRDefault="00C06C79" w:rsidP="00C06C79">
      <w:pPr>
        <w:shd w:val="clear" w:color="auto" w:fill="FFFFFF" w:themeFill="background1"/>
        <w:spacing w:after="160"/>
      </w:pPr>
      <w:r>
        <w:rPr>
          <w:szCs w:val="17"/>
        </w:rPr>
        <w:lastRenderedPageBreak/>
        <w:t xml:space="preserve">DNB constateert dat de meeste </w:t>
      </w:r>
      <w:r w:rsidR="00C5653C">
        <w:rPr>
          <w:szCs w:val="17"/>
        </w:rPr>
        <w:t>betaaldienstverleners</w:t>
      </w:r>
      <w:r w:rsidR="00031DD0" w:rsidRPr="00177709">
        <w:rPr>
          <w:szCs w:val="17"/>
        </w:rPr>
        <w:t xml:space="preserve"> trainingen ten aanzien van Wwft hebben opgenomen in het (jaarlijkse) trainingsprogramma. </w:t>
      </w:r>
      <w:r w:rsidRPr="00C06C79">
        <w:t>D</w:t>
      </w:r>
      <w:r w:rsidR="00144A0C">
        <w:t>NB verwacht dat hier</w:t>
      </w:r>
      <w:r w:rsidRPr="00C06C79">
        <w:t>bij de inhoud van dit programma is afgestemd op competenties en ervaring</w:t>
      </w:r>
      <w:r w:rsidR="004A429B">
        <w:t xml:space="preserve"> van de medewerker (van </w:t>
      </w:r>
      <w:r w:rsidR="00734EFD">
        <w:t xml:space="preserve">bestuur en </w:t>
      </w:r>
      <w:r w:rsidR="004A429B">
        <w:t>senior management tot junior medewerker)</w:t>
      </w:r>
      <w:r w:rsidRPr="00C06C79">
        <w:t xml:space="preserve"> en gebruik wordt gemaakt van casuïstiek vanuit het </w:t>
      </w:r>
      <w:r w:rsidR="00C05A7B">
        <w:t xml:space="preserve">eigen </w:t>
      </w:r>
      <w:r w:rsidRPr="00C06C79">
        <w:t>transactiemonitoringsproces.</w:t>
      </w:r>
    </w:p>
    <w:p w:rsidR="00D861C3" w:rsidRDefault="00BA0619" w:rsidP="00C06C79">
      <w:pPr>
        <w:pBdr>
          <w:top w:val="single" w:sz="4" w:space="1" w:color="auto"/>
          <w:left w:val="single" w:sz="4" w:space="4" w:color="auto"/>
          <w:bottom w:val="single" w:sz="4" w:space="1" w:color="auto"/>
          <w:right w:val="single" w:sz="4" w:space="4" w:color="auto"/>
        </w:pBdr>
        <w:shd w:val="clear" w:color="auto" w:fill="BDD6EE" w:themeFill="accent1" w:themeFillTint="66"/>
        <w:spacing w:after="160"/>
        <w:rPr>
          <w:b/>
          <w:szCs w:val="17"/>
        </w:rPr>
      </w:pPr>
      <w:r w:rsidRPr="00550190">
        <w:rPr>
          <w:b/>
          <w:szCs w:val="17"/>
        </w:rPr>
        <w:t>Good practice</w:t>
      </w:r>
    </w:p>
    <w:p w:rsidR="00C06C79" w:rsidRPr="00550190" w:rsidRDefault="00031DD0" w:rsidP="00C06C79">
      <w:pPr>
        <w:pBdr>
          <w:top w:val="single" w:sz="4" w:space="1" w:color="auto"/>
          <w:left w:val="single" w:sz="4" w:space="4" w:color="auto"/>
          <w:bottom w:val="single" w:sz="4" w:space="1" w:color="auto"/>
          <w:right w:val="single" w:sz="4" w:space="4" w:color="auto"/>
        </w:pBdr>
        <w:shd w:val="clear" w:color="auto" w:fill="BDD6EE" w:themeFill="accent1" w:themeFillTint="66"/>
        <w:spacing w:after="160"/>
        <w:rPr>
          <w:b/>
          <w:szCs w:val="17"/>
        </w:rPr>
      </w:pPr>
      <w:r w:rsidRPr="00177709">
        <w:rPr>
          <w:szCs w:val="17"/>
        </w:rPr>
        <w:t xml:space="preserve">Een van de onderzochte </w:t>
      </w:r>
      <w:r w:rsidR="00C5653C">
        <w:rPr>
          <w:szCs w:val="17"/>
        </w:rPr>
        <w:t>betaaldienstverleners</w:t>
      </w:r>
      <w:r w:rsidRPr="00177709">
        <w:rPr>
          <w:szCs w:val="17"/>
        </w:rPr>
        <w:t xml:space="preserve"> beschikte over een trainingsprogramma voor </w:t>
      </w:r>
      <w:r w:rsidR="00652994">
        <w:rPr>
          <w:szCs w:val="17"/>
        </w:rPr>
        <w:t>de alertafhandelings</w:t>
      </w:r>
      <w:r w:rsidRPr="00177709">
        <w:rPr>
          <w:szCs w:val="17"/>
        </w:rPr>
        <w:t>analisten</w:t>
      </w:r>
      <w:r w:rsidR="00652994">
        <w:rPr>
          <w:szCs w:val="17"/>
        </w:rPr>
        <w:t xml:space="preserve"> </w:t>
      </w:r>
      <w:r w:rsidRPr="00177709">
        <w:rPr>
          <w:szCs w:val="17"/>
        </w:rPr>
        <w:t xml:space="preserve">gebaseerd op vier verschillende ervaringsniveaus. In het trainingsprogramma waren de verwachte competenties per ervaringsniveau </w:t>
      </w:r>
      <w:r w:rsidR="00C05A7B" w:rsidRPr="00177709">
        <w:rPr>
          <w:szCs w:val="17"/>
        </w:rPr>
        <w:t>vastgelegd</w:t>
      </w:r>
      <w:r w:rsidR="00C05A7B">
        <w:rPr>
          <w:szCs w:val="17"/>
        </w:rPr>
        <w:t>,</w:t>
      </w:r>
      <w:r w:rsidR="00C05A7B" w:rsidRPr="00177709">
        <w:rPr>
          <w:szCs w:val="17"/>
        </w:rPr>
        <w:t xml:space="preserve"> </w:t>
      </w:r>
      <w:r w:rsidRPr="00177709">
        <w:rPr>
          <w:szCs w:val="17"/>
        </w:rPr>
        <w:t xml:space="preserve">alsmede de doelen die met training moeten worden behaald. </w:t>
      </w:r>
      <w:r w:rsidR="00C05A7B">
        <w:rPr>
          <w:szCs w:val="17"/>
        </w:rPr>
        <w:t>Ook</w:t>
      </w:r>
      <w:r w:rsidRPr="00177709">
        <w:rPr>
          <w:szCs w:val="17"/>
        </w:rPr>
        <w:t xml:space="preserve"> </w:t>
      </w:r>
      <w:r w:rsidR="00734EFD">
        <w:rPr>
          <w:szCs w:val="17"/>
        </w:rPr>
        <w:t>wa</w:t>
      </w:r>
      <w:r w:rsidRPr="00177709">
        <w:rPr>
          <w:szCs w:val="17"/>
        </w:rPr>
        <w:t xml:space="preserve">s in het trainingsprogramma vastgelegd hoe </w:t>
      </w:r>
      <w:r w:rsidR="00C05A7B" w:rsidRPr="00177709">
        <w:rPr>
          <w:szCs w:val="17"/>
        </w:rPr>
        <w:t>gemeten</w:t>
      </w:r>
      <w:r w:rsidR="00C05A7B" w:rsidRPr="00C05A7B">
        <w:rPr>
          <w:szCs w:val="17"/>
        </w:rPr>
        <w:t xml:space="preserve"> </w:t>
      </w:r>
      <w:r w:rsidR="00C05A7B">
        <w:rPr>
          <w:szCs w:val="17"/>
        </w:rPr>
        <w:t>werd of</w:t>
      </w:r>
      <w:r w:rsidRPr="00177709">
        <w:rPr>
          <w:szCs w:val="17"/>
        </w:rPr>
        <w:t xml:space="preserve"> deze doelen </w:t>
      </w:r>
      <w:r w:rsidR="00C05A7B">
        <w:rPr>
          <w:szCs w:val="17"/>
        </w:rPr>
        <w:t>behaald werden</w:t>
      </w:r>
    </w:p>
    <w:p w:rsidR="009365A5" w:rsidRDefault="009365A5">
      <w:pPr>
        <w:spacing w:after="160"/>
        <w:rPr>
          <w:b/>
          <w:szCs w:val="17"/>
        </w:rPr>
      </w:pPr>
      <w:r>
        <w:rPr>
          <w:b/>
          <w:szCs w:val="17"/>
        </w:rPr>
        <w:br w:type="page"/>
      </w:r>
    </w:p>
    <w:p w:rsidR="00253A63" w:rsidRPr="00C00ADD" w:rsidRDefault="00253A63" w:rsidP="00E57BE1">
      <w:pPr>
        <w:spacing w:after="160"/>
        <w:rPr>
          <w:b/>
          <w:szCs w:val="17"/>
        </w:rPr>
      </w:pPr>
    </w:p>
    <w:p w:rsidR="008216BB" w:rsidRPr="00C00ADD" w:rsidRDefault="008216BB" w:rsidP="00645F89">
      <w:pPr>
        <w:pStyle w:val="Lijstalinea"/>
        <w:numPr>
          <w:ilvl w:val="0"/>
          <w:numId w:val="8"/>
        </w:numPr>
        <w:shd w:val="clear" w:color="auto" w:fill="FFFF00"/>
        <w:spacing w:after="160"/>
        <w:rPr>
          <w:b/>
          <w:szCs w:val="17"/>
        </w:rPr>
      </w:pPr>
      <w:r w:rsidRPr="00C00ADD">
        <w:rPr>
          <w:b/>
          <w:szCs w:val="17"/>
        </w:rPr>
        <w:t xml:space="preserve">aan de achterkant van de brochure afdrukken - </w:t>
      </w:r>
    </w:p>
    <w:p w:rsidR="008216BB" w:rsidRPr="00C00ADD" w:rsidRDefault="008216BB" w:rsidP="00E57BE1">
      <w:pPr>
        <w:spacing w:after="160"/>
        <w:rPr>
          <w:b/>
          <w:szCs w:val="17"/>
        </w:rPr>
      </w:pPr>
    </w:p>
    <w:tbl>
      <w:tblPr>
        <w:tblStyle w:val="Tabelraster"/>
        <w:tblW w:w="0" w:type="auto"/>
        <w:tblLook w:val="04A0" w:firstRow="1" w:lastRow="0" w:firstColumn="1" w:lastColumn="0" w:noHBand="0" w:noVBand="1"/>
      </w:tblPr>
      <w:tblGrid>
        <w:gridCol w:w="7247"/>
      </w:tblGrid>
      <w:tr w:rsidR="00C00ADD" w:rsidRPr="00C00ADD" w:rsidTr="00E75482">
        <w:tc>
          <w:tcPr>
            <w:tcW w:w="7247" w:type="dxa"/>
          </w:tcPr>
          <w:p w:rsidR="00E57BE1" w:rsidRPr="00C00ADD" w:rsidRDefault="00E57BE1" w:rsidP="00E75482">
            <w:pPr>
              <w:rPr>
                <w:b/>
                <w:sz w:val="14"/>
                <w:szCs w:val="16"/>
              </w:rPr>
            </w:pPr>
            <w:r w:rsidRPr="00C00ADD">
              <w:rPr>
                <w:b/>
                <w:sz w:val="14"/>
                <w:szCs w:val="16"/>
              </w:rPr>
              <w:t xml:space="preserve">Disclaimer </w:t>
            </w:r>
          </w:p>
          <w:p w:rsidR="00E57BE1" w:rsidRPr="00C00ADD" w:rsidRDefault="00E57BE1" w:rsidP="00E75482">
            <w:pPr>
              <w:rPr>
                <w:sz w:val="14"/>
                <w:szCs w:val="16"/>
              </w:rPr>
            </w:pPr>
          </w:p>
          <w:p w:rsidR="00E57BE1" w:rsidRPr="00C00ADD" w:rsidRDefault="00E57BE1" w:rsidP="00E75482">
            <w:pPr>
              <w:rPr>
                <w:sz w:val="14"/>
                <w:szCs w:val="16"/>
              </w:rPr>
            </w:pPr>
          </w:p>
          <w:p w:rsidR="00E57BE1" w:rsidRPr="00C00ADD" w:rsidRDefault="00896FE3" w:rsidP="00E75482">
            <w:pPr>
              <w:rPr>
                <w:sz w:val="14"/>
                <w:szCs w:val="16"/>
              </w:rPr>
            </w:pPr>
            <w:r>
              <w:rPr>
                <w:sz w:val="14"/>
                <w:szCs w:val="16"/>
              </w:rPr>
              <w:t xml:space="preserve">In deze brochure geeft </w:t>
            </w:r>
            <w:r w:rsidR="00E57BE1" w:rsidRPr="00C00ADD">
              <w:rPr>
                <w:sz w:val="14"/>
                <w:szCs w:val="16"/>
              </w:rPr>
              <w:t xml:space="preserve">De Nederlandsche </w:t>
            </w:r>
            <w:r w:rsidR="00A83D75">
              <w:rPr>
                <w:sz w:val="14"/>
                <w:szCs w:val="16"/>
              </w:rPr>
              <w:t>Instelling</w:t>
            </w:r>
            <w:r>
              <w:rPr>
                <w:sz w:val="14"/>
                <w:szCs w:val="16"/>
              </w:rPr>
              <w:t xml:space="preserve"> N.V. (DNB) haar </w:t>
            </w:r>
            <w:r w:rsidR="00F6101C">
              <w:rPr>
                <w:sz w:val="14"/>
                <w:szCs w:val="16"/>
              </w:rPr>
              <w:t>bevindingen</w:t>
            </w:r>
            <w:r>
              <w:rPr>
                <w:sz w:val="14"/>
                <w:szCs w:val="16"/>
              </w:rPr>
              <w:t xml:space="preserve"> weer</w:t>
            </w:r>
            <w:r w:rsidR="00E57BE1" w:rsidRPr="00C00ADD">
              <w:rPr>
                <w:sz w:val="14"/>
                <w:szCs w:val="16"/>
              </w:rPr>
              <w:t xml:space="preserve"> over door haar geconstateerde of verwachte gedragingen in de toezichtpraktijk, die naar haar oordeel een goede toepassing inhouden van het wettelijk kader met betrekking tot de vereisten van transactiemonitoring. Voor een betere duiding worden in de</w:t>
            </w:r>
            <w:r w:rsidR="00BA0619">
              <w:rPr>
                <w:sz w:val="14"/>
                <w:szCs w:val="16"/>
              </w:rPr>
              <w:t>ze brochure</w:t>
            </w:r>
            <w:r w:rsidR="00E57BE1" w:rsidRPr="00C00ADD">
              <w:rPr>
                <w:sz w:val="14"/>
                <w:szCs w:val="16"/>
              </w:rPr>
              <w:t xml:space="preserve"> ook praktijkvoorbeelden gegeven</w:t>
            </w:r>
            <w:r w:rsidR="006B14C1">
              <w:rPr>
                <w:sz w:val="14"/>
                <w:szCs w:val="16"/>
              </w:rPr>
              <w:t>.</w:t>
            </w:r>
            <w:r w:rsidR="00E57BE1" w:rsidRPr="00C00ADD">
              <w:rPr>
                <w:sz w:val="14"/>
                <w:szCs w:val="16"/>
              </w:rPr>
              <w:t xml:space="preserve"> </w:t>
            </w:r>
          </w:p>
          <w:p w:rsidR="00E57BE1" w:rsidRPr="00C00ADD" w:rsidRDefault="00E57BE1" w:rsidP="00E75482">
            <w:pPr>
              <w:rPr>
                <w:sz w:val="14"/>
                <w:szCs w:val="16"/>
              </w:rPr>
            </w:pPr>
          </w:p>
          <w:p w:rsidR="00253A63" w:rsidRDefault="00E57BE1" w:rsidP="00253A63">
            <w:r w:rsidRPr="00C00ADD">
              <w:rPr>
                <w:sz w:val="14"/>
                <w:szCs w:val="16"/>
              </w:rPr>
              <w:t>Deze brochure dient altijd tezamen met de regelgeving en de DNB Leidraad Wwft en SW</w:t>
            </w:r>
            <w:r w:rsidR="00BA0619">
              <w:rPr>
                <w:sz w:val="14"/>
                <w:szCs w:val="16"/>
              </w:rPr>
              <w:t>, versie april 2015,</w:t>
            </w:r>
            <w:r w:rsidRPr="00C00ADD">
              <w:rPr>
                <w:sz w:val="14"/>
                <w:szCs w:val="16"/>
              </w:rPr>
              <w:t xml:space="preserve"> te worden gelezen. U kunt de good practices uit deze brochure meenemen bij uw invulling van </w:t>
            </w:r>
            <w:r w:rsidR="00BA0619">
              <w:rPr>
                <w:sz w:val="14"/>
                <w:szCs w:val="16"/>
              </w:rPr>
              <w:t xml:space="preserve">uw </w:t>
            </w:r>
            <w:r w:rsidRPr="00C00ADD">
              <w:rPr>
                <w:sz w:val="14"/>
                <w:szCs w:val="16"/>
              </w:rPr>
              <w:t xml:space="preserve"> transactiemonitoring. Daarbij kunnen eigen omstandigheden in aanmerking worden genomen. Niet uitgesloten is dat </w:t>
            </w:r>
            <w:r w:rsidR="00185159">
              <w:rPr>
                <w:sz w:val="14"/>
                <w:szCs w:val="16"/>
              </w:rPr>
              <w:t xml:space="preserve">in voorkomende gevallen </w:t>
            </w:r>
            <w:r w:rsidRPr="00C00ADD">
              <w:rPr>
                <w:sz w:val="14"/>
                <w:szCs w:val="16"/>
              </w:rPr>
              <w:t>een strengere toepassing van onderliggende regels geboden is.</w:t>
            </w:r>
            <w:r w:rsidR="00253A63">
              <w:t xml:space="preserve"> </w:t>
            </w:r>
          </w:p>
          <w:p w:rsidR="00253A63" w:rsidRDefault="00253A63" w:rsidP="00253A63"/>
          <w:p w:rsidR="00253A63" w:rsidRPr="00C00ADD" w:rsidRDefault="00253A63" w:rsidP="00E75482">
            <w:pPr>
              <w:rPr>
                <w:sz w:val="14"/>
                <w:szCs w:val="16"/>
              </w:rPr>
            </w:pPr>
            <w:r>
              <w:rPr>
                <w:sz w:val="14"/>
                <w:szCs w:val="16"/>
              </w:rPr>
              <w:t>Dit</w:t>
            </w:r>
            <w:r w:rsidRPr="00253A63">
              <w:rPr>
                <w:sz w:val="14"/>
                <w:szCs w:val="16"/>
              </w:rPr>
              <w:t xml:space="preserve"> document </w:t>
            </w:r>
            <w:r>
              <w:rPr>
                <w:sz w:val="14"/>
                <w:szCs w:val="16"/>
              </w:rPr>
              <w:t xml:space="preserve">is </w:t>
            </w:r>
            <w:r w:rsidRPr="00253A63">
              <w:rPr>
                <w:sz w:val="14"/>
                <w:szCs w:val="16"/>
              </w:rPr>
              <w:t>geen juridisch bindend document of beleidsregel van DNB als bedoeld in artikel 1:3 lid 4 Algemene Wet Bestuursrecht en heeft of beoogt geen rechtsgevolg. Dit document komt niet in de plaats van wet- en regelgeving</w:t>
            </w:r>
            <w:r>
              <w:rPr>
                <w:sz w:val="14"/>
                <w:szCs w:val="16"/>
              </w:rPr>
              <w:t xml:space="preserve"> </w:t>
            </w:r>
            <w:r w:rsidRPr="00253A63">
              <w:rPr>
                <w:sz w:val="14"/>
                <w:szCs w:val="16"/>
              </w:rPr>
              <w:t>en beleids- of toezichthouderregelingen op dit gebied. De in dit document opgenomen voorbeelden zijn niet uitputtend en zullen niet per definitie in alle gevallen als voldoende zijn aan te merken. Zij zijn een handreiking voor de uitleg en toepassing van de wettelijke verplichtingen</w:t>
            </w:r>
            <w:r>
              <w:rPr>
                <w:sz w:val="14"/>
                <w:szCs w:val="16"/>
              </w:rPr>
              <w:t>.</w:t>
            </w:r>
          </w:p>
          <w:p w:rsidR="00E57BE1" w:rsidRPr="00C00ADD" w:rsidRDefault="00E57BE1" w:rsidP="00E75482">
            <w:pPr>
              <w:rPr>
                <w:sz w:val="14"/>
                <w:szCs w:val="16"/>
              </w:rPr>
            </w:pPr>
          </w:p>
        </w:tc>
      </w:tr>
    </w:tbl>
    <w:p w:rsidR="00580270" w:rsidRPr="00C00ADD" w:rsidRDefault="00580270" w:rsidP="00BB56DB"/>
    <w:sectPr w:rsidR="00580270" w:rsidRPr="00C00ADD" w:rsidSect="00B67AC3">
      <w:headerReference w:type="even" r:id="rId15"/>
      <w:headerReference w:type="default" r:id="rId16"/>
      <w:footerReference w:type="even" r:id="rId17"/>
      <w:footerReference w:type="default" r:id="rId18"/>
      <w:headerReference w:type="first" r:id="rId19"/>
      <w:footerReference w:type="first" r:id="rId20"/>
      <w:pgSz w:w="11906" w:h="16838"/>
      <w:pgMar w:top="1440" w:right="170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70" w:rsidRDefault="003C3E70" w:rsidP="000A2A03">
      <w:pPr>
        <w:spacing w:line="240" w:lineRule="auto"/>
      </w:pPr>
      <w:r>
        <w:separator/>
      </w:r>
    </w:p>
  </w:endnote>
  <w:endnote w:type="continuationSeparator" w:id="0">
    <w:p w:rsidR="003C3E70" w:rsidRDefault="003C3E70"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86" w:rsidRDefault="00F760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21418"/>
      <w:docPartObj>
        <w:docPartGallery w:val="Page Numbers (Bottom of Page)"/>
        <w:docPartUnique/>
      </w:docPartObj>
    </w:sdtPr>
    <w:sdtEndPr/>
    <w:sdtContent>
      <w:p w:rsidR="00F76086" w:rsidRDefault="00F76086">
        <w:pPr>
          <w:pStyle w:val="Voettekst"/>
          <w:jc w:val="right"/>
        </w:pPr>
        <w:r>
          <w:fldChar w:fldCharType="begin"/>
        </w:r>
        <w:r>
          <w:instrText>PAGE   \* MERGEFORMAT</w:instrText>
        </w:r>
        <w:r>
          <w:fldChar w:fldCharType="separate"/>
        </w:r>
        <w:r w:rsidR="006B57B6">
          <w:rPr>
            <w:noProof/>
          </w:rPr>
          <w:t>2</w:t>
        </w:r>
        <w:r>
          <w:fldChar w:fldCharType="end"/>
        </w:r>
      </w:p>
    </w:sdtContent>
  </w:sdt>
  <w:p w:rsidR="00F76086" w:rsidRDefault="00F760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86" w:rsidRDefault="00F760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70" w:rsidRDefault="003C3E70" w:rsidP="000A2A03">
      <w:pPr>
        <w:spacing w:line="240" w:lineRule="auto"/>
      </w:pPr>
      <w:r>
        <w:separator/>
      </w:r>
    </w:p>
  </w:footnote>
  <w:footnote w:type="continuationSeparator" w:id="0">
    <w:p w:rsidR="003C3E70" w:rsidRDefault="003C3E70" w:rsidP="000A2A03">
      <w:pPr>
        <w:spacing w:line="240" w:lineRule="auto"/>
      </w:pPr>
      <w:r>
        <w:continuationSeparator/>
      </w:r>
    </w:p>
  </w:footnote>
  <w:footnote w:id="1">
    <w:p w:rsidR="00F76086" w:rsidRDefault="00F76086">
      <w:pPr>
        <w:pStyle w:val="Voetnoottekst"/>
      </w:pPr>
      <w:r>
        <w:rPr>
          <w:rStyle w:val="Voetnootmarkering"/>
        </w:rPr>
        <w:footnoteRef/>
      </w:r>
      <w:r>
        <w:t xml:space="preserve"> Het betrof een cross-sectoraal onderzoek, uitgevoerd bij vier banken, vier betaaldienstverleners, drie money transferkantoren en zes trustkantoren. </w:t>
      </w:r>
    </w:p>
  </w:footnote>
  <w:footnote w:id="2">
    <w:p w:rsidR="00F76086" w:rsidRDefault="00F76086">
      <w:pPr>
        <w:pStyle w:val="Voetnoottekst"/>
      </w:pPr>
      <w:r>
        <w:rPr>
          <w:rStyle w:val="Voetnootmarkering"/>
        </w:rPr>
        <w:footnoteRef/>
      </w:r>
      <w:r>
        <w:t xml:space="preserve"> Wwft: Wet ter voorkoming van witwassen en financieren van terrorisme; SW: Sanctiewet 1977</w:t>
      </w:r>
    </w:p>
  </w:footnote>
  <w:footnote w:id="3">
    <w:p w:rsidR="00F76086" w:rsidRDefault="00F76086">
      <w:pPr>
        <w:pStyle w:val="Voetnoottekst"/>
      </w:pPr>
      <w:r>
        <w:rPr>
          <w:rStyle w:val="Voetnootmarkering"/>
        </w:rPr>
        <w:footnoteRef/>
      </w:r>
      <w:r>
        <w:t xml:space="preserve"> Kort gezegd spreken wij hierna in dit document over “ongebruikelijke transacties”</w:t>
      </w:r>
    </w:p>
  </w:footnote>
  <w:footnote w:id="4">
    <w:p w:rsidR="00F76086" w:rsidRDefault="00F76086" w:rsidP="007F4A1B">
      <w:pPr>
        <w:pStyle w:val="Voetnoottekst"/>
      </w:pPr>
      <w:r>
        <w:rPr>
          <w:rStyle w:val="Voetnootmarkering"/>
        </w:rPr>
        <w:footnoteRef/>
      </w:r>
      <w:r>
        <w:t xml:space="preserve"> Artikel 14, lid 4 Bpr, artikelen 2a, lid 1 en 3, lid 2 sub d Wwft.</w:t>
      </w:r>
    </w:p>
  </w:footnote>
  <w:footnote w:id="5">
    <w:p w:rsidR="00F76086" w:rsidRPr="00A73CF6" w:rsidRDefault="00F76086">
      <w:pPr>
        <w:pStyle w:val="Voetnoottekst"/>
        <w:rPr>
          <w:lang w:val="en-US"/>
        </w:rPr>
      </w:pPr>
      <w:r>
        <w:rPr>
          <w:rStyle w:val="Voetnootmarkering"/>
        </w:rPr>
        <w:footnoteRef/>
      </w:r>
      <w:r w:rsidRPr="00A73CF6">
        <w:rPr>
          <w:lang w:val="en-US"/>
        </w:rPr>
        <w:t xml:space="preserve"> Art. 1 Bpr</w:t>
      </w:r>
    </w:p>
  </w:footnote>
  <w:footnote w:id="6">
    <w:p w:rsidR="00F76086" w:rsidRPr="00DC5300" w:rsidRDefault="00F76086">
      <w:pPr>
        <w:pStyle w:val="Voetnoottekst"/>
        <w:rPr>
          <w:lang w:val="en-US"/>
        </w:rPr>
      </w:pPr>
      <w:r>
        <w:rPr>
          <w:rStyle w:val="Voetnootmarkering"/>
        </w:rPr>
        <w:footnoteRef/>
      </w:r>
      <w:r w:rsidRPr="00DC5300">
        <w:rPr>
          <w:lang w:val="en-US"/>
        </w:rPr>
        <w:t xml:space="preserve"> Art. 2a, lid 1 en art. 3, lid 1 Wwft.</w:t>
      </w:r>
    </w:p>
  </w:footnote>
  <w:footnote w:id="7">
    <w:p w:rsidR="00F76086" w:rsidRPr="00B46D02" w:rsidRDefault="00F76086">
      <w:pPr>
        <w:pStyle w:val="Voetnoottekst"/>
        <w:rPr>
          <w:szCs w:val="14"/>
        </w:rPr>
      </w:pPr>
      <w:r>
        <w:rPr>
          <w:rStyle w:val="Voetnootmarkering"/>
        </w:rPr>
        <w:footnoteRef/>
      </w:r>
      <w:r>
        <w:t>In artikel 1, lid 1, sub m, Wwft, wordt een transactie als volgt gedefinieerd: e</w:t>
      </w:r>
      <w:r w:rsidRPr="00B46D02">
        <w:rPr>
          <w:szCs w:val="14"/>
          <w:lang w:eastAsia="nl-NL"/>
        </w:rPr>
        <w:t xml:space="preserve">en transactie is een handeling of samenstel van handelingen van of ten behoeve van een cliënt, waarvan een instelling ten behoeve van haar dienstverlening aan die cliënt heeft kennisgenomen </w:t>
      </w:r>
    </w:p>
  </w:footnote>
  <w:footnote w:id="8">
    <w:p w:rsidR="00F76086" w:rsidRPr="00DC5300" w:rsidRDefault="00F76086">
      <w:pPr>
        <w:pStyle w:val="Voetnoottekst"/>
        <w:rPr>
          <w:lang w:val="en-US"/>
        </w:rPr>
      </w:pPr>
      <w:r>
        <w:rPr>
          <w:rStyle w:val="Voetnootmarkering"/>
        </w:rPr>
        <w:footnoteRef/>
      </w:r>
      <w:r w:rsidRPr="00DC5300">
        <w:rPr>
          <w:lang w:val="en-US"/>
        </w:rPr>
        <w:t xml:space="preserve"> Art. 3, lid 2, sub d Wwft.</w:t>
      </w:r>
    </w:p>
  </w:footnote>
  <w:footnote w:id="9">
    <w:p w:rsidR="00F76086" w:rsidRPr="00DC5300" w:rsidRDefault="00F76086">
      <w:pPr>
        <w:pStyle w:val="Voetnoottekst"/>
        <w:rPr>
          <w:lang w:val="en-US"/>
        </w:rPr>
      </w:pPr>
      <w:r>
        <w:rPr>
          <w:rStyle w:val="Voetnootmarkering"/>
        </w:rPr>
        <w:footnoteRef/>
      </w:r>
      <w:r w:rsidRPr="00DC5300">
        <w:rPr>
          <w:lang w:val="en-US"/>
        </w:rPr>
        <w:t xml:space="preserve"> Art. </w:t>
      </w:r>
      <w:r>
        <w:rPr>
          <w:lang w:val="en-US"/>
        </w:rPr>
        <w:t>2a, lid 1 Wwft.</w:t>
      </w:r>
    </w:p>
  </w:footnote>
  <w:footnote w:id="10">
    <w:p w:rsidR="00F76086" w:rsidRPr="00DC5300" w:rsidRDefault="00F76086">
      <w:pPr>
        <w:pStyle w:val="Voetnoottekst"/>
        <w:rPr>
          <w:lang w:val="en-US"/>
        </w:rPr>
      </w:pPr>
      <w:r>
        <w:rPr>
          <w:rStyle w:val="Voetnootmarkering"/>
        </w:rPr>
        <w:footnoteRef/>
      </w:r>
      <w:r w:rsidRPr="00DC5300">
        <w:rPr>
          <w:lang w:val="en-US"/>
        </w:rPr>
        <w:t xml:space="preserve"> Art. </w:t>
      </w:r>
      <w:r>
        <w:rPr>
          <w:lang w:val="en-US"/>
        </w:rPr>
        <w:t>16 Wwft.</w:t>
      </w:r>
    </w:p>
  </w:footnote>
  <w:footnote w:id="11">
    <w:p w:rsidR="00F76086" w:rsidRPr="000154B9" w:rsidRDefault="00F76086">
      <w:pPr>
        <w:pStyle w:val="Voetnoottekst"/>
        <w:rPr>
          <w:lang w:val="en-US"/>
        </w:rPr>
      </w:pPr>
      <w:r>
        <w:rPr>
          <w:rStyle w:val="Voetnootmarkering"/>
        </w:rPr>
        <w:footnoteRef/>
      </w:r>
      <w:r w:rsidRPr="00DC5300">
        <w:rPr>
          <w:lang w:val="en-US"/>
        </w:rPr>
        <w:t xml:space="preserve"> Art. 16 Wwft </w:t>
      </w:r>
      <w:r>
        <w:rPr>
          <w:lang w:val="en-US"/>
        </w:rPr>
        <w:t xml:space="preserve">jo. </w:t>
      </w:r>
      <w:r w:rsidRPr="00DC5300">
        <w:rPr>
          <w:lang w:val="en-US"/>
        </w:rPr>
        <w:t xml:space="preserve">artt. </w:t>
      </w:r>
      <w:r w:rsidRPr="000154B9">
        <w:rPr>
          <w:lang w:val="en-US"/>
        </w:rPr>
        <w:t>17 en 18 Bpr.</w:t>
      </w:r>
    </w:p>
  </w:footnote>
  <w:footnote w:id="12">
    <w:p w:rsidR="00F76086" w:rsidRPr="000154B9" w:rsidRDefault="00F76086">
      <w:pPr>
        <w:pStyle w:val="Voetnoottekst"/>
        <w:rPr>
          <w:lang w:val="en-US"/>
        </w:rPr>
      </w:pPr>
      <w:r>
        <w:rPr>
          <w:rStyle w:val="Voetnootmarkering"/>
        </w:rPr>
        <w:footnoteRef/>
      </w:r>
      <w:r w:rsidRPr="000154B9">
        <w:rPr>
          <w:lang w:val="en-US"/>
        </w:rPr>
        <w:t xml:space="preserve"> Art. 35 Wwft.</w:t>
      </w:r>
    </w:p>
  </w:footnote>
  <w:footnote w:id="13">
    <w:p w:rsidR="00F76086" w:rsidRDefault="00F76086" w:rsidP="00557FFE">
      <w:pPr>
        <w:pStyle w:val="Voetnoottekst"/>
      </w:pPr>
      <w:r>
        <w:rPr>
          <w:rStyle w:val="Voetnootmarkering"/>
        </w:rPr>
        <w:footnoteRef/>
      </w:r>
      <w:r>
        <w:t xml:space="preserve"> DNB verwijst in deze naar de Leidraad Wwft en SW, versie 3.0, april 2015, pagina’s 29-32, waar guidance wordt gegeven hoe een instelling dit zou kunnen doen. </w:t>
      </w:r>
    </w:p>
  </w:footnote>
  <w:footnote w:id="14">
    <w:p w:rsidR="00F76086" w:rsidRDefault="00F76086" w:rsidP="00CB4859">
      <w:pPr>
        <w:pStyle w:val="Voetnoottekst"/>
        <w:rPr>
          <w:i/>
        </w:rPr>
      </w:pPr>
      <w:r>
        <w:rPr>
          <w:rStyle w:val="Voetnootmarkering"/>
        </w:rPr>
        <w:footnoteRef/>
      </w:r>
      <w:r>
        <w:t xml:space="preserve"> Op grond van artikel 10, lid 1 en 2 Bpr dient een instelling te beschikken over een systematische integriteitrisicoanalyse en indien in de analyse (rest)risico’s gesignaleerd worden, dienen deze omgezet te worden in beleid, procedures en maatregelen.</w:t>
      </w:r>
    </w:p>
  </w:footnote>
  <w:footnote w:id="15">
    <w:p w:rsidR="00F76086" w:rsidRDefault="00F76086" w:rsidP="00CB4859">
      <w:pPr>
        <w:pStyle w:val="Voetnoottekst"/>
      </w:pPr>
      <w:r>
        <w:rPr>
          <w:rStyle w:val="Voetnootmarkering"/>
        </w:rPr>
        <w:footnoteRef/>
      </w:r>
      <w:r>
        <w:t xml:space="preserve"> Voor nadere toelichting op de SIRA zie het document: </w:t>
      </w:r>
      <w:r>
        <w:rPr>
          <w:i/>
        </w:rPr>
        <w:t>De integriteitrisicoanalyse, meer waar dat moet, minder waar dat kan</w:t>
      </w:r>
      <w:r>
        <w:t xml:space="preserve">, te raadplegen via </w:t>
      </w:r>
      <w:hyperlink r:id="rId1" w:history="1">
        <w:r>
          <w:rPr>
            <w:rStyle w:val="Hyperlink"/>
          </w:rPr>
          <w:t>http://www.toezicht.dnb.nl/2/50-234066.jsp</w:t>
        </w:r>
      </w:hyperlink>
      <w:r>
        <w:t xml:space="preserve"> </w:t>
      </w:r>
    </w:p>
  </w:footnote>
  <w:footnote w:id="16">
    <w:p w:rsidR="00F76086" w:rsidRDefault="00F76086">
      <w:pPr>
        <w:pStyle w:val="Voetnoottekst"/>
      </w:pPr>
      <w:r>
        <w:rPr>
          <w:rStyle w:val="Voetnootmarkering"/>
        </w:rPr>
        <w:footnoteRef/>
      </w:r>
      <w:r>
        <w:t xml:space="preserve"> De toepassing van kunstmatige intelligentie, waarbij aan de hand van beschikbare data de computer zelf algoritmen ontwikkelt. Een algoritme is een rekenwijze voor het berekenen van bepaalde grootheden en functies.</w:t>
      </w:r>
    </w:p>
  </w:footnote>
  <w:footnote w:id="17">
    <w:p w:rsidR="00F76086" w:rsidRDefault="00F76086">
      <w:pPr>
        <w:pStyle w:val="Voetnoottekst"/>
      </w:pPr>
      <w:r>
        <w:rPr>
          <w:rStyle w:val="Voetnootmarkering"/>
        </w:rPr>
        <w:footnoteRef/>
      </w:r>
      <w:r>
        <w:t xml:space="preserve"> Snelheid wil zeggen zo snel mogelijk afwerken van de alerts teneinde achterstanden te voorkomen</w:t>
      </w:r>
    </w:p>
  </w:footnote>
  <w:footnote w:id="18">
    <w:p w:rsidR="00550190" w:rsidRDefault="00550190" w:rsidP="00550190">
      <w:pPr>
        <w:pStyle w:val="Voetnoottekst"/>
      </w:pPr>
      <w:r>
        <w:rPr>
          <w:rStyle w:val="Voetnootmarkering"/>
        </w:rPr>
        <w:footnoteRef/>
      </w:r>
      <w:r>
        <w:t xml:space="preserve"> De bijlage van artikel 4 van het Uitvoeringsbesluit van de Wwft bevat de lijst met indicatoren op grond waarvan altijd gemeld moet worden.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86" w:rsidRDefault="00F760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86" w:rsidRDefault="003C3E70">
    <w:pPr>
      <w:pStyle w:val="Koptekst"/>
    </w:pPr>
    <w:sdt>
      <w:sdtPr>
        <w:id w:val="502946262"/>
        <w:docPartObj>
          <w:docPartGallery w:val="Watermarks"/>
          <w:docPartUnique/>
        </w:docPartObj>
      </w:sdtPr>
      <w:sdtEndPr/>
      <w:sdtContent>
        <w:r>
          <w:rPr>
            <w:noProof/>
            <w:lang w:val="en-US"/>
          </w:rPr>
          <w:pict w14:anchorId="45B47B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76086">
      <w:rPr>
        <w:noProof/>
        <w:lang w:eastAsia="nl-NL"/>
      </w:rPr>
      <w:drawing>
        <wp:anchor distT="0" distB="0" distL="114300" distR="114300" simplePos="0" relativeHeight="251655168" behindDoc="0" locked="0" layoutInCell="1" allowOverlap="1" wp14:anchorId="37FC32B7" wp14:editId="613278A3">
          <wp:simplePos x="0" y="0"/>
          <wp:positionH relativeFrom="column">
            <wp:posOffset>1270</wp:posOffset>
          </wp:positionH>
          <wp:positionV relativeFrom="paragraph">
            <wp:posOffset>1270</wp:posOffset>
          </wp:positionV>
          <wp:extent cx="1122680" cy="323850"/>
          <wp:effectExtent l="0" t="0" r="0" b="0"/>
          <wp:wrapNone/>
          <wp:docPr id="19" name="dnb_public" descr="R:\Projecten\372_TID_DNB_DIRECT\Develop\png_classificatie\pos\DNB_cl1_public-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anchor>
      </w:drawing>
    </w:r>
    <w:r w:rsidR="00F76086">
      <w:rPr>
        <w:noProof/>
        <w:lang w:eastAsia="nl-NL"/>
      </w:rPr>
      <w:drawing>
        <wp:anchor distT="0" distB="0" distL="114300" distR="114300" simplePos="0" relativeHeight="251656192" behindDoc="0" locked="0" layoutInCell="1" allowOverlap="1" wp14:anchorId="684ADD1B" wp14:editId="1B11311F">
          <wp:simplePos x="0" y="0"/>
          <wp:positionH relativeFrom="column">
            <wp:posOffset>1270</wp:posOffset>
          </wp:positionH>
          <wp:positionV relativeFrom="paragraph">
            <wp:posOffset>1270</wp:posOffset>
          </wp:positionV>
          <wp:extent cx="1122680" cy="323850"/>
          <wp:effectExtent l="0" t="0" r="0" b="0"/>
          <wp:wrapNone/>
          <wp:docPr id="20" name="dnb_unrestricted" descr="R:\Projecten\372_TID_DNB_DIRECT\Develop\png_classificatie\pos\DNB_cl2_unrestricted-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anchor>
      </w:drawing>
    </w:r>
    <w:r w:rsidR="00F76086">
      <w:rPr>
        <w:noProof/>
        <w:lang w:eastAsia="nl-NL"/>
      </w:rPr>
      <w:drawing>
        <wp:anchor distT="0" distB="0" distL="114300" distR="114300" simplePos="0" relativeHeight="251657216" behindDoc="0" locked="0" layoutInCell="1" allowOverlap="1" wp14:anchorId="7D9643B5" wp14:editId="08B0619B">
          <wp:simplePos x="0" y="0"/>
          <wp:positionH relativeFrom="column">
            <wp:posOffset>1270</wp:posOffset>
          </wp:positionH>
          <wp:positionV relativeFrom="paragraph">
            <wp:posOffset>1270</wp:posOffset>
          </wp:positionV>
          <wp:extent cx="1122680" cy="323850"/>
          <wp:effectExtent l="0" t="0" r="0" b="0"/>
          <wp:wrapNone/>
          <wp:docPr id="21" name="dnb_restricted" descr="R:\Projecten\372_TID_DNB_DIRECT\Develop\png_classificatie\pos\DNB_cl3_restricted-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anchor>
      </w:drawing>
    </w:r>
    <w:r w:rsidR="00F76086">
      <w:rPr>
        <w:noProof/>
        <w:lang w:eastAsia="nl-NL"/>
      </w:rPr>
      <w:drawing>
        <wp:anchor distT="0" distB="0" distL="114300" distR="114300" simplePos="0" relativeHeight="251658240" behindDoc="0" locked="0" layoutInCell="1" allowOverlap="1" wp14:anchorId="719D2BAE" wp14:editId="35A1B124">
          <wp:simplePos x="0" y="0"/>
          <wp:positionH relativeFrom="column">
            <wp:posOffset>1270</wp:posOffset>
          </wp:positionH>
          <wp:positionV relativeFrom="paragraph">
            <wp:posOffset>1270</wp:posOffset>
          </wp:positionV>
          <wp:extent cx="1122680" cy="323850"/>
          <wp:effectExtent l="0" t="0" r="0" b="0"/>
          <wp:wrapNone/>
          <wp:docPr id="22" name="dnb_confidential" descr="R:\Projecten\372_TID_DNB_DIRECT\Develop\png_classificatie\pos\DNB_cl4_confidential-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680" cy="323850"/>
                  </a:xfrm>
                  <a:prstGeom prst="rect">
                    <a:avLst/>
                  </a:prstGeom>
                  <a:noFill/>
                  <a:ln>
                    <a:noFill/>
                  </a:ln>
                </pic:spPr>
              </pic:pic>
            </a:graphicData>
          </a:graphic>
        </wp:anchor>
      </w:drawing>
    </w:r>
    <w:r w:rsidR="00F76086">
      <w:rPr>
        <w:noProof/>
        <w:lang w:eastAsia="nl-NL"/>
      </w:rPr>
      <w:drawing>
        <wp:anchor distT="0" distB="0" distL="114300" distR="114300" simplePos="0" relativeHeight="251659264" behindDoc="0" locked="0" layoutInCell="1" allowOverlap="1" wp14:anchorId="17158088" wp14:editId="2EF09BB4">
          <wp:simplePos x="0" y="0"/>
          <wp:positionH relativeFrom="column">
            <wp:posOffset>1270</wp:posOffset>
          </wp:positionH>
          <wp:positionV relativeFrom="paragraph">
            <wp:posOffset>1270</wp:posOffset>
          </wp:positionV>
          <wp:extent cx="1122680" cy="326390"/>
          <wp:effectExtent l="0" t="0" r="0" b="0"/>
          <wp:wrapNone/>
          <wp:docPr id="23" name="dnb_secret" descr="R:\Projecten\372_TID_DNB_DIRECT\Develop\png_classificatie\pos\DNB_cl5_secret-pos.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680" cy="32639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086" w:rsidRDefault="00F760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D81"/>
    <w:multiLevelType w:val="hybridMultilevel"/>
    <w:tmpl w:val="4B24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67FE6"/>
    <w:multiLevelType w:val="hybridMultilevel"/>
    <w:tmpl w:val="929267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073DBC"/>
    <w:multiLevelType w:val="hybridMultilevel"/>
    <w:tmpl w:val="349EF1F8"/>
    <w:lvl w:ilvl="0" w:tplc="74A6A81E">
      <w:start w:val="1"/>
      <w:numFmt w:val="bullet"/>
      <w:lvlText w:val="•"/>
      <w:lvlJc w:val="left"/>
      <w:pPr>
        <w:tabs>
          <w:tab w:val="num" w:pos="720"/>
        </w:tabs>
        <w:ind w:left="720" w:hanging="360"/>
      </w:pPr>
      <w:rPr>
        <w:rFonts w:ascii="Times New Roman" w:hAnsi="Times New Roman" w:hint="default"/>
      </w:rPr>
    </w:lvl>
    <w:lvl w:ilvl="1" w:tplc="23ACBF2A" w:tentative="1">
      <w:start w:val="1"/>
      <w:numFmt w:val="bullet"/>
      <w:lvlText w:val="•"/>
      <w:lvlJc w:val="left"/>
      <w:pPr>
        <w:tabs>
          <w:tab w:val="num" w:pos="1440"/>
        </w:tabs>
        <w:ind w:left="1440" w:hanging="360"/>
      </w:pPr>
      <w:rPr>
        <w:rFonts w:ascii="Times New Roman" w:hAnsi="Times New Roman" w:hint="default"/>
      </w:rPr>
    </w:lvl>
    <w:lvl w:ilvl="2" w:tplc="2D00CCC0" w:tentative="1">
      <w:start w:val="1"/>
      <w:numFmt w:val="bullet"/>
      <w:lvlText w:val="•"/>
      <w:lvlJc w:val="left"/>
      <w:pPr>
        <w:tabs>
          <w:tab w:val="num" w:pos="2160"/>
        </w:tabs>
        <w:ind w:left="2160" w:hanging="360"/>
      </w:pPr>
      <w:rPr>
        <w:rFonts w:ascii="Times New Roman" w:hAnsi="Times New Roman" w:hint="default"/>
      </w:rPr>
    </w:lvl>
    <w:lvl w:ilvl="3" w:tplc="7B503270" w:tentative="1">
      <w:start w:val="1"/>
      <w:numFmt w:val="bullet"/>
      <w:lvlText w:val="•"/>
      <w:lvlJc w:val="left"/>
      <w:pPr>
        <w:tabs>
          <w:tab w:val="num" w:pos="2880"/>
        </w:tabs>
        <w:ind w:left="2880" w:hanging="360"/>
      </w:pPr>
      <w:rPr>
        <w:rFonts w:ascii="Times New Roman" w:hAnsi="Times New Roman" w:hint="default"/>
      </w:rPr>
    </w:lvl>
    <w:lvl w:ilvl="4" w:tplc="3EB4F066" w:tentative="1">
      <w:start w:val="1"/>
      <w:numFmt w:val="bullet"/>
      <w:lvlText w:val="•"/>
      <w:lvlJc w:val="left"/>
      <w:pPr>
        <w:tabs>
          <w:tab w:val="num" w:pos="3600"/>
        </w:tabs>
        <w:ind w:left="3600" w:hanging="360"/>
      </w:pPr>
      <w:rPr>
        <w:rFonts w:ascii="Times New Roman" w:hAnsi="Times New Roman" w:hint="default"/>
      </w:rPr>
    </w:lvl>
    <w:lvl w:ilvl="5" w:tplc="3516F0C2" w:tentative="1">
      <w:start w:val="1"/>
      <w:numFmt w:val="bullet"/>
      <w:lvlText w:val="•"/>
      <w:lvlJc w:val="left"/>
      <w:pPr>
        <w:tabs>
          <w:tab w:val="num" w:pos="4320"/>
        </w:tabs>
        <w:ind w:left="4320" w:hanging="360"/>
      </w:pPr>
      <w:rPr>
        <w:rFonts w:ascii="Times New Roman" w:hAnsi="Times New Roman" w:hint="default"/>
      </w:rPr>
    </w:lvl>
    <w:lvl w:ilvl="6" w:tplc="E99C9244" w:tentative="1">
      <w:start w:val="1"/>
      <w:numFmt w:val="bullet"/>
      <w:lvlText w:val="•"/>
      <w:lvlJc w:val="left"/>
      <w:pPr>
        <w:tabs>
          <w:tab w:val="num" w:pos="5040"/>
        </w:tabs>
        <w:ind w:left="5040" w:hanging="360"/>
      </w:pPr>
      <w:rPr>
        <w:rFonts w:ascii="Times New Roman" w:hAnsi="Times New Roman" w:hint="default"/>
      </w:rPr>
    </w:lvl>
    <w:lvl w:ilvl="7" w:tplc="C49C296C" w:tentative="1">
      <w:start w:val="1"/>
      <w:numFmt w:val="bullet"/>
      <w:lvlText w:val="•"/>
      <w:lvlJc w:val="left"/>
      <w:pPr>
        <w:tabs>
          <w:tab w:val="num" w:pos="5760"/>
        </w:tabs>
        <w:ind w:left="5760" w:hanging="360"/>
      </w:pPr>
      <w:rPr>
        <w:rFonts w:ascii="Times New Roman" w:hAnsi="Times New Roman" w:hint="default"/>
      </w:rPr>
    </w:lvl>
    <w:lvl w:ilvl="8" w:tplc="5C20B3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E16984"/>
    <w:multiLevelType w:val="hybridMultilevel"/>
    <w:tmpl w:val="765869AC"/>
    <w:lvl w:ilvl="0" w:tplc="6ACA6704">
      <w:start w:val="1"/>
      <w:numFmt w:val="bullet"/>
      <w:lvlText w:val="•"/>
      <w:lvlJc w:val="left"/>
      <w:pPr>
        <w:tabs>
          <w:tab w:val="num" w:pos="720"/>
        </w:tabs>
        <w:ind w:left="720" w:hanging="360"/>
      </w:pPr>
      <w:rPr>
        <w:rFonts w:ascii="Times New Roman" w:hAnsi="Times New Roman" w:hint="default"/>
      </w:rPr>
    </w:lvl>
    <w:lvl w:ilvl="1" w:tplc="5A38752A" w:tentative="1">
      <w:start w:val="1"/>
      <w:numFmt w:val="bullet"/>
      <w:lvlText w:val="•"/>
      <w:lvlJc w:val="left"/>
      <w:pPr>
        <w:tabs>
          <w:tab w:val="num" w:pos="1440"/>
        </w:tabs>
        <w:ind w:left="1440" w:hanging="360"/>
      </w:pPr>
      <w:rPr>
        <w:rFonts w:ascii="Times New Roman" w:hAnsi="Times New Roman" w:hint="default"/>
      </w:rPr>
    </w:lvl>
    <w:lvl w:ilvl="2" w:tplc="3AF651BA" w:tentative="1">
      <w:start w:val="1"/>
      <w:numFmt w:val="bullet"/>
      <w:lvlText w:val="•"/>
      <w:lvlJc w:val="left"/>
      <w:pPr>
        <w:tabs>
          <w:tab w:val="num" w:pos="2160"/>
        </w:tabs>
        <w:ind w:left="2160" w:hanging="360"/>
      </w:pPr>
      <w:rPr>
        <w:rFonts w:ascii="Times New Roman" w:hAnsi="Times New Roman" w:hint="default"/>
      </w:rPr>
    </w:lvl>
    <w:lvl w:ilvl="3" w:tplc="D1C61786" w:tentative="1">
      <w:start w:val="1"/>
      <w:numFmt w:val="bullet"/>
      <w:lvlText w:val="•"/>
      <w:lvlJc w:val="left"/>
      <w:pPr>
        <w:tabs>
          <w:tab w:val="num" w:pos="2880"/>
        </w:tabs>
        <w:ind w:left="2880" w:hanging="360"/>
      </w:pPr>
      <w:rPr>
        <w:rFonts w:ascii="Times New Roman" w:hAnsi="Times New Roman" w:hint="default"/>
      </w:rPr>
    </w:lvl>
    <w:lvl w:ilvl="4" w:tplc="BB38E8F4" w:tentative="1">
      <w:start w:val="1"/>
      <w:numFmt w:val="bullet"/>
      <w:lvlText w:val="•"/>
      <w:lvlJc w:val="left"/>
      <w:pPr>
        <w:tabs>
          <w:tab w:val="num" w:pos="3600"/>
        </w:tabs>
        <w:ind w:left="3600" w:hanging="360"/>
      </w:pPr>
      <w:rPr>
        <w:rFonts w:ascii="Times New Roman" w:hAnsi="Times New Roman" w:hint="default"/>
      </w:rPr>
    </w:lvl>
    <w:lvl w:ilvl="5" w:tplc="61D6C432" w:tentative="1">
      <w:start w:val="1"/>
      <w:numFmt w:val="bullet"/>
      <w:lvlText w:val="•"/>
      <w:lvlJc w:val="left"/>
      <w:pPr>
        <w:tabs>
          <w:tab w:val="num" w:pos="4320"/>
        </w:tabs>
        <w:ind w:left="4320" w:hanging="360"/>
      </w:pPr>
      <w:rPr>
        <w:rFonts w:ascii="Times New Roman" w:hAnsi="Times New Roman" w:hint="default"/>
      </w:rPr>
    </w:lvl>
    <w:lvl w:ilvl="6" w:tplc="351E3274" w:tentative="1">
      <w:start w:val="1"/>
      <w:numFmt w:val="bullet"/>
      <w:lvlText w:val="•"/>
      <w:lvlJc w:val="left"/>
      <w:pPr>
        <w:tabs>
          <w:tab w:val="num" w:pos="5040"/>
        </w:tabs>
        <w:ind w:left="5040" w:hanging="360"/>
      </w:pPr>
      <w:rPr>
        <w:rFonts w:ascii="Times New Roman" w:hAnsi="Times New Roman" w:hint="default"/>
      </w:rPr>
    </w:lvl>
    <w:lvl w:ilvl="7" w:tplc="D6563042" w:tentative="1">
      <w:start w:val="1"/>
      <w:numFmt w:val="bullet"/>
      <w:lvlText w:val="•"/>
      <w:lvlJc w:val="left"/>
      <w:pPr>
        <w:tabs>
          <w:tab w:val="num" w:pos="5760"/>
        </w:tabs>
        <w:ind w:left="5760" w:hanging="360"/>
      </w:pPr>
      <w:rPr>
        <w:rFonts w:ascii="Times New Roman" w:hAnsi="Times New Roman" w:hint="default"/>
      </w:rPr>
    </w:lvl>
    <w:lvl w:ilvl="8" w:tplc="C1E62E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8F2715"/>
    <w:multiLevelType w:val="hybridMultilevel"/>
    <w:tmpl w:val="FCD2955A"/>
    <w:lvl w:ilvl="0" w:tplc="4A40D0B8">
      <w:start w:val="1"/>
      <w:numFmt w:val="bullet"/>
      <w:lvlText w:val="•"/>
      <w:lvlJc w:val="left"/>
      <w:pPr>
        <w:tabs>
          <w:tab w:val="num" w:pos="720"/>
        </w:tabs>
        <w:ind w:left="720" w:hanging="360"/>
      </w:pPr>
      <w:rPr>
        <w:rFonts w:ascii="Times New Roman" w:hAnsi="Times New Roman" w:hint="default"/>
      </w:rPr>
    </w:lvl>
    <w:lvl w:ilvl="1" w:tplc="AB1E406C" w:tentative="1">
      <w:start w:val="1"/>
      <w:numFmt w:val="bullet"/>
      <w:lvlText w:val="•"/>
      <w:lvlJc w:val="left"/>
      <w:pPr>
        <w:tabs>
          <w:tab w:val="num" w:pos="1440"/>
        </w:tabs>
        <w:ind w:left="1440" w:hanging="360"/>
      </w:pPr>
      <w:rPr>
        <w:rFonts w:ascii="Times New Roman" w:hAnsi="Times New Roman" w:hint="default"/>
      </w:rPr>
    </w:lvl>
    <w:lvl w:ilvl="2" w:tplc="D7962B0E" w:tentative="1">
      <w:start w:val="1"/>
      <w:numFmt w:val="bullet"/>
      <w:lvlText w:val="•"/>
      <w:lvlJc w:val="left"/>
      <w:pPr>
        <w:tabs>
          <w:tab w:val="num" w:pos="2160"/>
        </w:tabs>
        <w:ind w:left="2160" w:hanging="360"/>
      </w:pPr>
      <w:rPr>
        <w:rFonts w:ascii="Times New Roman" w:hAnsi="Times New Roman" w:hint="default"/>
      </w:rPr>
    </w:lvl>
    <w:lvl w:ilvl="3" w:tplc="439C1E10" w:tentative="1">
      <w:start w:val="1"/>
      <w:numFmt w:val="bullet"/>
      <w:lvlText w:val="•"/>
      <w:lvlJc w:val="left"/>
      <w:pPr>
        <w:tabs>
          <w:tab w:val="num" w:pos="2880"/>
        </w:tabs>
        <w:ind w:left="2880" w:hanging="360"/>
      </w:pPr>
      <w:rPr>
        <w:rFonts w:ascii="Times New Roman" w:hAnsi="Times New Roman" w:hint="default"/>
      </w:rPr>
    </w:lvl>
    <w:lvl w:ilvl="4" w:tplc="A7CA73DE" w:tentative="1">
      <w:start w:val="1"/>
      <w:numFmt w:val="bullet"/>
      <w:lvlText w:val="•"/>
      <w:lvlJc w:val="left"/>
      <w:pPr>
        <w:tabs>
          <w:tab w:val="num" w:pos="3600"/>
        </w:tabs>
        <w:ind w:left="3600" w:hanging="360"/>
      </w:pPr>
      <w:rPr>
        <w:rFonts w:ascii="Times New Roman" w:hAnsi="Times New Roman" w:hint="default"/>
      </w:rPr>
    </w:lvl>
    <w:lvl w:ilvl="5" w:tplc="8E36463C" w:tentative="1">
      <w:start w:val="1"/>
      <w:numFmt w:val="bullet"/>
      <w:lvlText w:val="•"/>
      <w:lvlJc w:val="left"/>
      <w:pPr>
        <w:tabs>
          <w:tab w:val="num" w:pos="4320"/>
        </w:tabs>
        <w:ind w:left="4320" w:hanging="360"/>
      </w:pPr>
      <w:rPr>
        <w:rFonts w:ascii="Times New Roman" w:hAnsi="Times New Roman" w:hint="default"/>
      </w:rPr>
    </w:lvl>
    <w:lvl w:ilvl="6" w:tplc="CE6ECFCC" w:tentative="1">
      <w:start w:val="1"/>
      <w:numFmt w:val="bullet"/>
      <w:lvlText w:val="•"/>
      <w:lvlJc w:val="left"/>
      <w:pPr>
        <w:tabs>
          <w:tab w:val="num" w:pos="5040"/>
        </w:tabs>
        <w:ind w:left="5040" w:hanging="360"/>
      </w:pPr>
      <w:rPr>
        <w:rFonts w:ascii="Times New Roman" w:hAnsi="Times New Roman" w:hint="default"/>
      </w:rPr>
    </w:lvl>
    <w:lvl w:ilvl="7" w:tplc="4DBED1B8" w:tentative="1">
      <w:start w:val="1"/>
      <w:numFmt w:val="bullet"/>
      <w:lvlText w:val="•"/>
      <w:lvlJc w:val="left"/>
      <w:pPr>
        <w:tabs>
          <w:tab w:val="num" w:pos="5760"/>
        </w:tabs>
        <w:ind w:left="5760" w:hanging="360"/>
      </w:pPr>
      <w:rPr>
        <w:rFonts w:ascii="Times New Roman" w:hAnsi="Times New Roman" w:hint="default"/>
      </w:rPr>
    </w:lvl>
    <w:lvl w:ilvl="8" w:tplc="16CE54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2C489C"/>
    <w:multiLevelType w:val="hybridMultilevel"/>
    <w:tmpl w:val="B7A2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923AF"/>
    <w:multiLevelType w:val="hybridMultilevel"/>
    <w:tmpl w:val="73CE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F3FDB"/>
    <w:multiLevelType w:val="hybridMultilevel"/>
    <w:tmpl w:val="798A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5F26"/>
    <w:multiLevelType w:val="hybridMultilevel"/>
    <w:tmpl w:val="073872CC"/>
    <w:lvl w:ilvl="0" w:tplc="64E8761A">
      <w:start w:val="1"/>
      <w:numFmt w:val="bullet"/>
      <w:lvlText w:val="•"/>
      <w:lvlJc w:val="left"/>
      <w:pPr>
        <w:tabs>
          <w:tab w:val="num" w:pos="720"/>
        </w:tabs>
        <w:ind w:left="720" w:hanging="360"/>
      </w:pPr>
      <w:rPr>
        <w:rFonts w:ascii="Times New Roman" w:hAnsi="Times New Roman" w:hint="default"/>
      </w:rPr>
    </w:lvl>
    <w:lvl w:ilvl="1" w:tplc="452AD1C4" w:tentative="1">
      <w:start w:val="1"/>
      <w:numFmt w:val="bullet"/>
      <w:lvlText w:val="•"/>
      <w:lvlJc w:val="left"/>
      <w:pPr>
        <w:tabs>
          <w:tab w:val="num" w:pos="1440"/>
        </w:tabs>
        <w:ind w:left="1440" w:hanging="360"/>
      </w:pPr>
      <w:rPr>
        <w:rFonts w:ascii="Times New Roman" w:hAnsi="Times New Roman" w:hint="default"/>
      </w:rPr>
    </w:lvl>
    <w:lvl w:ilvl="2" w:tplc="E452E22E" w:tentative="1">
      <w:start w:val="1"/>
      <w:numFmt w:val="bullet"/>
      <w:lvlText w:val="•"/>
      <w:lvlJc w:val="left"/>
      <w:pPr>
        <w:tabs>
          <w:tab w:val="num" w:pos="2160"/>
        </w:tabs>
        <w:ind w:left="2160" w:hanging="360"/>
      </w:pPr>
      <w:rPr>
        <w:rFonts w:ascii="Times New Roman" w:hAnsi="Times New Roman" w:hint="default"/>
      </w:rPr>
    </w:lvl>
    <w:lvl w:ilvl="3" w:tplc="C0CA9E28" w:tentative="1">
      <w:start w:val="1"/>
      <w:numFmt w:val="bullet"/>
      <w:lvlText w:val="•"/>
      <w:lvlJc w:val="left"/>
      <w:pPr>
        <w:tabs>
          <w:tab w:val="num" w:pos="2880"/>
        </w:tabs>
        <w:ind w:left="2880" w:hanging="360"/>
      </w:pPr>
      <w:rPr>
        <w:rFonts w:ascii="Times New Roman" w:hAnsi="Times New Roman" w:hint="default"/>
      </w:rPr>
    </w:lvl>
    <w:lvl w:ilvl="4" w:tplc="F9664D28" w:tentative="1">
      <w:start w:val="1"/>
      <w:numFmt w:val="bullet"/>
      <w:lvlText w:val="•"/>
      <w:lvlJc w:val="left"/>
      <w:pPr>
        <w:tabs>
          <w:tab w:val="num" w:pos="3600"/>
        </w:tabs>
        <w:ind w:left="3600" w:hanging="360"/>
      </w:pPr>
      <w:rPr>
        <w:rFonts w:ascii="Times New Roman" w:hAnsi="Times New Roman" w:hint="default"/>
      </w:rPr>
    </w:lvl>
    <w:lvl w:ilvl="5" w:tplc="73A2A3D4" w:tentative="1">
      <w:start w:val="1"/>
      <w:numFmt w:val="bullet"/>
      <w:lvlText w:val="•"/>
      <w:lvlJc w:val="left"/>
      <w:pPr>
        <w:tabs>
          <w:tab w:val="num" w:pos="4320"/>
        </w:tabs>
        <w:ind w:left="4320" w:hanging="360"/>
      </w:pPr>
      <w:rPr>
        <w:rFonts w:ascii="Times New Roman" w:hAnsi="Times New Roman" w:hint="default"/>
      </w:rPr>
    </w:lvl>
    <w:lvl w:ilvl="6" w:tplc="6E9243DE" w:tentative="1">
      <w:start w:val="1"/>
      <w:numFmt w:val="bullet"/>
      <w:lvlText w:val="•"/>
      <w:lvlJc w:val="left"/>
      <w:pPr>
        <w:tabs>
          <w:tab w:val="num" w:pos="5040"/>
        </w:tabs>
        <w:ind w:left="5040" w:hanging="360"/>
      </w:pPr>
      <w:rPr>
        <w:rFonts w:ascii="Times New Roman" w:hAnsi="Times New Roman" w:hint="default"/>
      </w:rPr>
    </w:lvl>
    <w:lvl w:ilvl="7" w:tplc="021419D4" w:tentative="1">
      <w:start w:val="1"/>
      <w:numFmt w:val="bullet"/>
      <w:lvlText w:val="•"/>
      <w:lvlJc w:val="left"/>
      <w:pPr>
        <w:tabs>
          <w:tab w:val="num" w:pos="5760"/>
        </w:tabs>
        <w:ind w:left="5760" w:hanging="360"/>
      </w:pPr>
      <w:rPr>
        <w:rFonts w:ascii="Times New Roman" w:hAnsi="Times New Roman" w:hint="default"/>
      </w:rPr>
    </w:lvl>
    <w:lvl w:ilvl="8" w:tplc="2EDABE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7000F3E"/>
    <w:multiLevelType w:val="hybridMultilevel"/>
    <w:tmpl w:val="45DC5424"/>
    <w:lvl w:ilvl="0" w:tplc="5686B410">
      <w:start w:val="11"/>
      <w:numFmt w:val="bullet"/>
      <w:lvlText w:val="-"/>
      <w:lvlJc w:val="left"/>
      <w:pPr>
        <w:ind w:left="720" w:hanging="360"/>
      </w:pPr>
      <w:rPr>
        <w:rFonts w:ascii="Verdana" w:eastAsia="Batang"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B70640"/>
    <w:multiLevelType w:val="hybridMultilevel"/>
    <w:tmpl w:val="E28481A6"/>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 w15:restartNumberingAfterBreak="0">
    <w:nsid w:val="1F570F06"/>
    <w:multiLevelType w:val="hybridMultilevel"/>
    <w:tmpl w:val="16A2C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24253B"/>
    <w:multiLevelType w:val="hybridMultilevel"/>
    <w:tmpl w:val="071C3E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2E13DF3"/>
    <w:multiLevelType w:val="hybridMultilevel"/>
    <w:tmpl w:val="B2982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1E6635"/>
    <w:multiLevelType w:val="hybridMultilevel"/>
    <w:tmpl w:val="8490F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AF1B9E"/>
    <w:multiLevelType w:val="hybridMultilevel"/>
    <w:tmpl w:val="825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4421B"/>
    <w:multiLevelType w:val="hybridMultilevel"/>
    <w:tmpl w:val="48A8DB36"/>
    <w:lvl w:ilvl="0" w:tplc="8D0A3680">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ABE733C"/>
    <w:multiLevelType w:val="hybridMultilevel"/>
    <w:tmpl w:val="0ABE8A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1846432"/>
    <w:multiLevelType w:val="hybridMultilevel"/>
    <w:tmpl w:val="5B9A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3035B"/>
    <w:multiLevelType w:val="multilevel"/>
    <w:tmpl w:val="B440AD50"/>
    <w:lvl w:ilvl="0">
      <w:start w:val="1"/>
      <w:numFmt w:val="decimal"/>
      <w:pStyle w:val="Kop1"/>
      <w:lvlText w:val="%1."/>
      <w:lvlJc w:val="left"/>
      <w:pPr>
        <w:ind w:left="227" w:hanging="227"/>
      </w:pPr>
      <w:rPr>
        <w:rFonts w:hint="default"/>
      </w:rPr>
    </w:lvl>
    <w:lvl w:ilvl="1">
      <w:start w:val="1"/>
      <w:numFmt w:val="decimal"/>
      <w:pStyle w:val="Kop2"/>
      <w:lvlText w:val="%1.%2"/>
      <w:lvlJc w:val="left"/>
      <w:pPr>
        <w:ind w:left="227"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964"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C44260"/>
    <w:multiLevelType w:val="hybridMultilevel"/>
    <w:tmpl w:val="50AE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75D86"/>
    <w:multiLevelType w:val="hybridMultilevel"/>
    <w:tmpl w:val="6194C738"/>
    <w:lvl w:ilvl="0" w:tplc="8D0A3680">
      <w:start w:val="1"/>
      <w:numFmt w:val="bullet"/>
      <w:lvlText w:val="-"/>
      <w:lvlJc w:val="left"/>
      <w:pPr>
        <w:ind w:left="36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36A9F"/>
    <w:multiLevelType w:val="hybridMultilevel"/>
    <w:tmpl w:val="547214C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2B56F0C"/>
    <w:multiLevelType w:val="hybridMultilevel"/>
    <w:tmpl w:val="C6F2D558"/>
    <w:lvl w:ilvl="0" w:tplc="2FD68ED2">
      <w:start w:val="1"/>
      <w:numFmt w:val="bullet"/>
      <w:lvlText w:val="•"/>
      <w:lvlJc w:val="left"/>
      <w:pPr>
        <w:tabs>
          <w:tab w:val="num" w:pos="720"/>
        </w:tabs>
        <w:ind w:left="720" w:hanging="360"/>
      </w:pPr>
      <w:rPr>
        <w:rFonts w:ascii="Times New Roman" w:hAnsi="Times New Roman" w:hint="default"/>
      </w:rPr>
    </w:lvl>
    <w:lvl w:ilvl="1" w:tplc="B5446366" w:tentative="1">
      <w:start w:val="1"/>
      <w:numFmt w:val="bullet"/>
      <w:lvlText w:val="•"/>
      <w:lvlJc w:val="left"/>
      <w:pPr>
        <w:tabs>
          <w:tab w:val="num" w:pos="1440"/>
        </w:tabs>
        <w:ind w:left="1440" w:hanging="360"/>
      </w:pPr>
      <w:rPr>
        <w:rFonts w:ascii="Times New Roman" w:hAnsi="Times New Roman" w:hint="default"/>
      </w:rPr>
    </w:lvl>
    <w:lvl w:ilvl="2" w:tplc="99F861BC" w:tentative="1">
      <w:start w:val="1"/>
      <w:numFmt w:val="bullet"/>
      <w:lvlText w:val="•"/>
      <w:lvlJc w:val="left"/>
      <w:pPr>
        <w:tabs>
          <w:tab w:val="num" w:pos="2160"/>
        </w:tabs>
        <w:ind w:left="2160" w:hanging="360"/>
      </w:pPr>
      <w:rPr>
        <w:rFonts w:ascii="Times New Roman" w:hAnsi="Times New Roman" w:hint="default"/>
      </w:rPr>
    </w:lvl>
    <w:lvl w:ilvl="3" w:tplc="05B664DE" w:tentative="1">
      <w:start w:val="1"/>
      <w:numFmt w:val="bullet"/>
      <w:lvlText w:val="•"/>
      <w:lvlJc w:val="left"/>
      <w:pPr>
        <w:tabs>
          <w:tab w:val="num" w:pos="2880"/>
        </w:tabs>
        <w:ind w:left="2880" w:hanging="360"/>
      </w:pPr>
      <w:rPr>
        <w:rFonts w:ascii="Times New Roman" w:hAnsi="Times New Roman" w:hint="default"/>
      </w:rPr>
    </w:lvl>
    <w:lvl w:ilvl="4" w:tplc="341A38B4" w:tentative="1">
      <w:start w:val="1"/>
      <w:numFmt w:val="bullet"/>
      <w:lvlText w:val="•"/>
      <w:lvlJc w:val="left"/>
      <w:pPr>
        <w:tabs>
          <w:tab w:val="num" w:pos="3600"/>
        </w:tabs>
        <w:ind w:left="3600" w:hanging="360"/>
      </w:pPr>
      <w:rPr>
        <w:rFonts w:ascii="Times New Roman" w:hAnsi="Times New Roman" w:hint="default"/>
      </w:rPr>
    </w:lvl>
    <w:lvl w:ilvl="5" w:tplc="BD8C449A" w:tentative="1">
      <w:start w:val="1"/>
      <w:numFmt w:val="bullet"/>
      <w:lvlText w:val="•"/>
      <w:lvlJc w:val="left"/>
      <w:pPr>
        <w:tabs>
          <w:tab w:val="num" w:pos="4320"/>
        </w:tabs>
        <w:ind w:left="4320" w:hanging="360"/>
      </w:pPr>
      <w:rPr>
        <w:rFonts w:ascii="Times New Roman" w:hAnsi="Times New Roman" w:hint="default"/>
      </w:rPr>
    </w:lvl>
    <w:lvl w:ilvl="6" w:tplc="286AE962" w:tentative="1">
      <w:start w:val="1"/>
      <w:numFmt w:val="bullet"/>
      <w:lvlText w:val="•"/>
      <w:lvlJc w:val="left"/>
      <w:pPr>
        <w:tabs>
          <w:tab w:val="num" w:pos="5040"/>
        </w:tabs>
        <w:ind w:left="5040" w:hanging="360"/>
      </w:pPr>
      <w:rPr>
        <w:rFonts w:ascii="Times New Roman" w:hAnsi="Times New Roman" w:hint="default"/>
      </w:rPr>
    </w:lvl>
    <w:lvl w:ilvl="7" w:tplc="E32839AE" w:tentative="1">
      <w:start w:val="1"/>
      <w:numFmt w:val="bullet"/>
      <w:lvlText w:val="•"/>
      <w:lvlJc w:val="left"/>
      <w:pPr>
        <w:tabs>
          <w:tab w:val="num" w:pos="5760"/>
        </w:tabs>
        <w:ind w:left="5760" w:hanging="360"/>
      </w:pPr>
      <w:rPr>
        <w:rFonts w:ascii="Times New Roman" w:hAnsi="Times New Roman" w:hint="default"/>
      </w:rPr>
    </w:lvl>
    <w:lvl w:ilvl="8" w:tplc="33EA102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3C4810"/>
    <w:multiLevelType w:val="hybridMultilevel"/>
    <w:tmpl w:val="893E944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2721810"/>
    <w:multiLevelType w:val="hybridMultilevel"/>
    <w:tmpl w:val="8CF40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734A10"/>
    <w:multiLevelType w:val="hybridMultilevel"/>
    <w:tmpl w:val="912A9030"/>
    <w:lvl w:ilvl="0" w:tplc="1880677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D017D0"/>
    <w:multiLevelType w:val="hybridMultilevel"/>
    <w:tmpl w:val="9CD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459D3"/>
    <w:multiLevelType w:val="hybridMultilevel"/>
    <w:tmpl w:val="3A2E7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6B9019A"/>
    <w:multiLevelType w:val="hybridMultilevel"/>
    <w:tmpl w:val="26AA9C44"/>
    <w:lvl w:ilvl="0" w:tplc="437C8130">
      <w:start w:val="1"/>
      <w:numFmt w:val="bullet"/>
      <w:lvlText w:val="•"/>
      <w:lvlJc w:val="left"/>
      <w:pPr>
        <w:tabs>
          <w:tab w:val="num" w:pos="720"/>
        </w:tabs>
        <w:ind w:left="720" w:hanging="360"/>
      </w:pPr>
      <w:rPr>
        <w:rFonts w:ascii="Times New Roman" w:hAnsi="Times New Roman" w:hint="default"/>
      </w:rPr>
    </w:lvl>
    <w:lvl w:ilvl="1" w:tplc="9022DC26" w:tentative="1">
      <w:start w:val="1"/>
      <w:numFmt w:val="bullet"/>
      <w:lvlText w:val="•"/>
      <w:lvlJc w:val="left"/>
      <w:pPr>
        <w:tabs>
          <w:tab w:val="num" w:pos="1440"/>
        </w:tabs>
        <w:ind w:left="1440" w:hanging="360"/>
      </w:pPr>
      <w:rPr>
        <w:rFonts w:ascii="Times New Roman" w:hAnsi="Times New Roman" w:hint="default"/>
      </w:rPr>
    </w:lvl>
    <w:lvl w:ilvl="2" w:tplc="335CB8D0" w:tentative="1">
      <w:start w:val="1"/>
      <w:numFmt w:val="bullet"/>
      <w:lvlText w:val="•"/>
      <w:lvlJc w:val="left"/>
      <w:pPr>
        <w:tabs>
          <w:tab w:val="num" w:pos="2160"/>
        </w:tabs>
        <w:ind w:left="2160" w:hanging="360"/>
      </w:pPr>
      <w:rPr>
        <w:rFonts w:ascii="Times New Roman" w:hAnsi="Times New Roman" w:hint="default"/>
      </w:rPr>
    </w:lvl>
    <w:lvl w:ilvl="3" w:tplc="74D0D63E" w:tentative="1">
      <w:start w:val="1"/>
      <w:numFmt w:val="bullet"/>
      <w:lvlText w:val="•"/>
      <w:lvlJc w:val="left"/>
      <w:pPr>
        <w:tabs>
          <w:tab w:val="num" w:pos="2880"/>
        </w:tabs>
        <w:ind w:left="2880" w:hanging="360"/>
      </w:pPr>
      <w:rPr>
        <w:rFonts w:ascii="Times New Roman" w:hAnsi="Times New Roman" w:hint="default"/>
      </w:rPr>
    </w:lvl>
    <w:lvl w:ilvl="4" w:tplc="84CAB220" w:tentative="1">
      <w:start w:val="1"/>
      <w:numFmt w:val="bullet"/>
      <w:lvlText w:val="•"/>
      <w:lvlJc w:val="left"/>
      <w:pPr>
        <w:tabs>
          <w:tab w:val="num" w:pos="3600"/>
        </w:tabs>
        <w:ind w:left="3600" w:hanging="360"/>
      </w:pPr>
      <w:rPr>
        <w:rFonts w:ascii="Times New Roman" w:hAnsi="Times New Roman" w:hint="default"/>
      </w:rPr>
    </w:lvl>
    <w:lvl w:ilvl="5" w:tplc="115C3328" w:tentative="1">
      <w:start w:val="1"/>
      <w:numFmt w:val="bullet"/>
      <w:lvlText w:val="•"/>
      <w:lvlJc w:val="left"/>
      <w:pPr>
        <w:tabs>
          <w:tab w:val="num" w:pos="4320"/>
        </w:tabs>
        <w:ind w:left="4320" w:hanging="360"/>
      </w:pPr>
      <w:rPr>
        <w:rFonts w:ascii="Times New Roman" w:hAnsi="Times New Roman" w:hint="default"/>
      </w:rPr>
    </w:lvl>
    <w:lvl w:ilvl="6" w:tplc="1136A644" w:tentative="1">
      <w:start w:val="1"/>
      <w:numFmt w:val="bullet"/>
      <w:lvlText w:val="•"/>
      <w:lvlJc w:val="left"/>
      <w:pPr>
        <w:tabs>
          <w:tab w:val="num" w:pos="5040"/>
        </w:tabs>
        <w:ind w:left="5040" w:hanging="360"/>
      </w:pPr>
      <w:rPr>
        <w:rFonts w:ascii="Times New Roman" w:hAnsi="Times New Roman" w:hint="default"/>
      </w:rPr>
    </w:lvl>
    <w:lvl w:ilvl="7" w:tplc="FE1AC2AC" w:tentative="1">
      <w:start w:val="1"/>
      <w:numFmt w:val="bullet"/>
      <w:lvlText w:val="•"/>
      <w:lvlJc w:val="left"/>
      <w:pPr>
        <w:tabs>
          <w:tab w:val="num" w:pos="5760"/>
        </w:tabs>
        <w:ind w:left="5760" w:hanging="360"/>
      </w:pPr>
      <w:rPr>
        <w:rFonts w:ascii="Times New Roman" w:hAnsi="Times New Roman" w:hint="default"/>
      </w:rPr>
    </w:lvl>
    <w:lvl w:ilvl="8" w:tplc="B142D7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E16957"/>
    <w:multiLevelType w:val="hybridMultilevel"/>
    <w:tmpl w:val="D6308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3C5AA5"/>
    <w:multiLevelType w:val="hybridMultilevel"/>
    <w:tmpl w:val="64CEAAB4"/>
    <w:lvl w:ilvl="0" w:tplc="5CB28072">
      <w:start w:val="1"/>
      <w:numFmt w:val="bullet"/>
      <w:lvlText w:val="•"/>
      <w:lvlJc w:val="left"/>
      <w:pPr>
        <w:tabs>
          <w:tab w:val="num" w:pos="720"/>
        </w:tabs>
        <w:ind w:left="720" w:hanging="360"/>
      </w:pPr>
      <w:rPr>
        <w:rFonts w:ascii="Times New Roman" w:hAnsi="Times New Roman" w:hint="default"/>
      </w:rPr>
    </w:lvl>
    <w:lvl w:ilvl="1" w:tplc="35F666CE" w:tentative="1">
      <w:start w:val="1"/>
      <w:numFmt w:val="bullet"/>
      <w:lvlText w:val="•"/>
      <w:lvlJc w:val="left"/>
      <w:pPr>
        <w:tabs>
          <w:tab w:val="num" w:pos="1440"/>
        </w:tabs>
        <w:ind w:left="1440" w:hanging="360"/>
      </w:pPr>
      <w:rPr>
        <w:rFonts w:ascii="Times New Roman" w:hAnsi="Times New Roman" w:hint="default"/>
      </w:rPr>
    </w:lvl>
    <w:lvl w:ilvl="2" w:tplc="83EA22CA" w:tentative="1">
      <w:start w:val="1"/>
      <w:numFmt w:val="bullet"/>
      <w:lvlText w:val="•"/>
      <w:lvlJc w:val="left"/>
      <w:pPr>
        <w:tabs>
          <w:tab w:val="num" w:pos="2160"/>
        </w:tabs>
        <w:ind w:left="2160" w:hanging="360"/>
      </w:pPr>
      <w:rPr>
        <w:rFonts w:ascii="Times New Roman" w:hAnsi="Times New Roman" w:hint="default"/>
      </w:rPr>
    </w:lvl>
    <w:lvl w:ilvl="3" w:tplc="11F06608" w:tentative="1">
      <w:start w:val="1"/>
      <w:numFmt w:val="bullet"/>
      <w:lvlText w:val="•"/>
      <w:lvlJc w:val="left"/>
      <w:pPr>
        <w:tabs>
          <w:tab w:val="num" w:pos="2880"/>
        </w:tabs>
        <w:ind w:left="2880" w:hanging="360"/>
      </w:pPr>
      <w:rPr>
        <w:rFonts w:ascii="Times New Roman" w:hAnsi="Times New Roman" w:hint="default"/>
      </w:rPr>
    </w:lvl>
    <w:lvl w:ilvl="4" w:tplc="B7FA698A" w:tentative="1">
      <w:start w:val="1"/>
      <w:numFmt w:val="bullet"/>
      <w:lvlText w:val="•"/>
      <w:lvlJc w:val="left"/>
      <w:pPr>
        <w:tabs>
          <w:tab w:val="num" w:pos="3600"/>
        </w:tabs>
        <w:ind w:left="3600" w:hanging="360"/>
      </w:pPr>
      <w:rPr>
        <w:rFonts w:ascii="Times New Roman" w:hAnsi="Times New Roman" w:hint="default"/>
      </w:rPr>
    </w:lvl>
    <w:lvl w:ilvl="5" w:tplc="43846B76" w:tentative="1">
      <w:start w:val="1"/>
      <w:numFmt w:val="bullet"/>
      <w:lvlText w:val="•"/>
      <w:lvlJc w:val="left"/>
      <w:pPr>
        <w:tabs>
          <w:tab w:val="num" w:pos="4320"/>
        </w:tabs>
        <w:ind w:left="4320" w:hanging="360"/>
      </w:pPr>
      <w:rPr>
        <w:rFonts w:ascii="Times New Roman" w:hAnsi="Times New Roman" w:hint="default"/>
      </w:rPr>
    </w:lvl>
    <w:lvl w:ilvl="6" w:tplc="0B9A5A10" w:tentative="1">
      <w:start w:val="1"/>
      <w:numFmt w:val="bullet"/>
      <w:lvlText w:val="•"/>
      <w:lvlJc w:val="left"/>
      <w:pPr>
        <w:tabs>
          <w:tab w:val="num" w:pos="5040"/>
        </w:tabs>
        <w:ind w:left="5040" w:hanging="360"/>
      </w:pPr>
      <w:rPr>
        <w:rFonts w:ascii="Times New Roman" w:hAnsi="Times New Roman" w:hint="default"/>
      </w:rPr>
    </w:lvl>
    <w:lvl w:ilvl="7" w:tplc="A0B0E882" w:tentative="1">
      <w:start w:val="1"/>
      <w:numFmt w:val="bullet"/>
      <w:lvlText w:val="•"/>
      <w:lvlJc w:val="left"/>
      <w:pPr>
        <w:tabs>
          <w:tab w:val="num" w:pos="5760"/>
        </w:tabs>
        <w:ind w:left="5760" w:hanging="360"/>
      </w:pPr>
      <w:rPr>
        <w:rFonts w:ascii="Times New Roman" w:hAnsi="Times New Roman" w:hint="default"/>
      </w:rPr>
    </w:lvl>
    <w:lvl w:ilvl="8" w:tplc="83F4CC2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347795"/>
    <w:multiLevelType w:val="hybridMultilevel"/>
    <w:tmpl w:val="D94E34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0"/>
  </w:num>
  <w:num w:numId="3">
    <w:abstractNumId w:val="12"/>
  </w:num>
  <w:num w:numId="4">
    <w:abstractNumId w:val="14"/>
  </w:num>
  <w:num w:numId="5">
    <w:abstractNumId w:val="1"/>
  </w:num>
  <w:num w:numId="6">
    <w:abstractNumId w:val="15"/>
  </w:num>
  <w:num w:numId="7">
    <w:abstractNumId w:val="25"/>
  </w:num>
  <w:num w:numId="8">
    <w:abstractNumId w:val="17"/>
  </w:num>
  <w:num w:numId="9">
    <w:abstractNumId w:val="13"/>
  </w:num>
  <w:num w:numId="10">
    <w:abstractNumId w:val="33"/>
  </w:num>
  <w:num w:numId="11">
    <w:abstractNumId w:val="22"/>
  </w:num>
  <w:num w:numId="12">
    <w:abstractNumId w:val="0"/>
  </w:num>
  <w:num w:numId="13">
    <w:abstractNumId w:val="23"/>
  </w:num>
  <w:num w:numId="14">
    <w:abstractNumId w:val="5"/>
  </w:num>
  <w:num w:numId="15">
    <w:abstractNumId w:val="20"/>
  </w:num>
  <w:num w:numId="16">
    <w:abstractNumId w:val="29"/>
  </w:num>
  <w:num w:numId="17">
    <w:abstractNumId w:val="9"/>
  </w:num>
  <w:num w:numId="18">
    <w:abstractNumId w:val="20"/>
  </w:num>
  <w:num w:numId="19">
    <w:abstractNumId w:val="2"/>
  </w:num>
  <w:num w:numId="20">
    <w:abstractNumId w:val="30"/>
  </w:num>
  <w:num w:numId="21">
    <w:abstractNumId w:val="32"/>
  </w:num>
  <w:num w:numId="22">
    <w:abstractNumId w:val="4"/>
  </w:num>
  <w:num w:numId="23">
    <w:abstractNumId w:val="8"/>
  </w:num>
  <w:num w:numId="24">
    <w:abstractNumId w:val="24"/>
  </w:num>
  <w:num w:numId="25">
    <w:abstractNumId w:val="3"/>
  </w:num>
  <w:num w:numId="26">
    <w:abstractNumId w:val="16"/>
  </w:num>
  <w:num w:numId="27">
    <w:abstractNumId w:val="21"/>
  </w:num>
  <w:num w:numId="28">
    <w:abstractNumId w:val="7"/>
  </w:num>
  <w:num w:numId="29">
    <w:abstractNumId w:val="19"/>
  </w:num>
  <w:num w:numId="30">
    <w:abstractNumId w:val="28"/>
  </w:num>
  <w:num w:numId="31">
    <w:abstractNumId w:val="11"/>
  </w:num>
  <w:num w:numId="32">
    <w:abstractNumId w:val="27"/>
  </w:num>
  <w:num w:numId="33">
    <w:abstractNumId w:val="31"/>
  </w:num>
  <w:num w:numId="34">
    <w:abstractNumId w:val="6"/>
  </w:num>
  <w:num w:numId="35">
    <w:abstractNumId w:val="10"/>
  </w:num>
  <w:num w:numId="36">
    <w:abstractNumId w:val="20"/>
  </w:num>
  <w:num w:numId="37">
    <w:abstractNumId w:val="1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D"/>
    <w:rsid w:val="000008D3"/>
    <w:rsid w:val="00000C24"/>
    <w:rsid w:val="00004C19"/>
    <w:rsid w:val="00004CC6"/>
    <w:rsid w:val="000054DF"/>
    <w:rsid w:val="0000614B"/>
    <w:rsid w:val="000101B6"/>
    <w:rsid w:val="00010A6D"/>
    <w:rsid w:val="000132AB"/>
    <w:rsid w:val="00014988"/>
    <w:rsid w:val="000154B9"/>
    <w:rsid w:val="000157EB"/>
    <w:rsid w:val="000230CC"/>
    <w:rsid w:val="0002463D"/>
    <w:rsid w:val="00030E57"/>
    <w:rsid w:val="00031DD0"/>
    <w:rsid w:val="00033CC7"/>
    <w:rsid w:val="00035055"/>
    <w:rsid w:val="0003542C"/>
    <w:rsid w:val="00037985"/>
    <w:rsid w:val="00041179"/>
    <w:rsid w:val="00044348"/>
    <w:rsid w:val="00046FEB"/>
    <w:rsid w:val="0005271C"/>
    <w:rsid w:val="00056830"/>
    <w:rsid w:val="00057A97"/>
    <w:rsid w:val="00061CF7"/>
    <w:rsid w:val="0006297C"/>
    <w:rsid w:val="00064BD2"/>
    <w:rsid w:val="000674D2"/>
    <w:rsid w:val="00067E14"/>
    <w:rsid w:val="00070D27"/>
    <w:rsid w:val="000713C9"/>
    <w:rsid w:val="00077D19"/>
    <w:rsid w:val="000916A6"/>
    <w:rsid w:val="00091D03"/>
    <w:rsid w:val="00096597"/>
    <w:rsid w:val="000978B5"/>
    <w:rsid w:val="000A2A03"/>
    <w:rsid w:val="000A540B"/>
    <w:rsid w:val="000A563E"/>
    <w:rsid w:val="000B0769"/>
    <w:rsid w:val="000B3F98"/>
    <w:rsid w:val="000C0674"/>
    <w:rsid w:val="000C1FCC"/>
    <w:rsid w:val="000C24F9"/>
    <w:rsid w:val="000C37C9"/>
    <w:rsid w:val="000C6C4C"/>
    <w:rsid w:val="000D0945"/>
    <w:rsid w:val="000D1890"/>
    <w:rsid w:val="000D203E"/>
    <w:rsid w:val="000D2F4E"/>
    <w:rsid w:val="000D36F9"/>
    <w:rsid w:val="000E543C"/>
    <w:rsid w:val="000E7980"/>
    <w:rsid w:val="000F03A5"/>
    <w:rsid w:val="000F2D0F"/>
    <w:rsid w:val="000F49F4"/>
    <w:rsid w:val="000F61AB"/>
    <w:rsid w:val="000F631D"/>
    <w:rsid w:val="000F70D9"/>
    <w:rsid w:val="00100C70"/>
    <w:rsid w:val="001011AE"/>
    <w:rsid w:val="00102AE8"/>
    <w:rsid w:val="0010508C"/>
    <w:rsid w:val="001069C0"/>
    <w:rsid w:val="00106A1F"/>
    <w:rsid w:val="00113958"/>
    <w:rsid w:val="00117398"/>
    <w:rsid w:val="00117E51"/>
    <w:rsid w:val="00117EF6"/>
    <w:rsid w:val="00124BE2"/>
    <w:rsid w:val="00125F21"/>
    <w:rsid w:val="00127387"/>
    <w:rsid w:val="00127843"/>
    <w:rsid w:val="00132F54"/>
    <w:rsid w:val="00134817"/>
    <w:rsid w:val="00142063"/>
    <w:rsid w:val="00144A0C"/>
    <w:rsid w:val="00145376"/>
    <w:rsid w:val="00145D29"/>
    <w:rsid w:val="0015014D"/>
    <w:rsid w:val="00154357"/>
    <w:rsid w:val="001577C0"/>
    <w:rsid w:val="00164B08"/>
    <w:rsid w:val="00166F4F"/>
    <w:rsid w:val="00167ECA"/>
    <w:rsid w:val="00173E35"/>
    <w:rsid w:val="00175F49"/>
    <w:rsid w:val="00177299"/>
    <w:rsid w:val="001776B5"/>
    <w:rsid w:val="00177709"/>
    <w:rsid w:val="0017788A"/>
    <w:rsid w:val="0018029B"/>
    <w:rsid w:val="00182A11"/>
    <w:rsid w:val="001838EC"/>
    <w:rsid w:val="00185159"/>
    <w:rsid w:val="0019077A"/>
    <w:rsid w:val="00197702"/>
    <w:rsid w:val="00197ADA"/>
    <w:rsid w:val="00197D55"/>
    <w:rsid w:val="001A7B27"/>
    <w:rsid w:val="001B3288"/>
    <w:rsid w:val="001B6FB1"/>
    <w:rsid w:val="001C017D"/>
    <w:rsid w:val="001C12A5"/>
    <w:rsid w:val="001C4C79"/>
    <w:rsid w:val="001C609A"/>
    <w:rsid w:val="001D3454"/>
    <w:rsid w:val="001D38FC"/>
    <w:rsid w:val="001E01FE"/>
    <w:rsid w:val="001E0EA1"/>
    <w:rsid w:val="001E10CC"/>
    <w:rsid w:val="001E2BFB"/>
    <w:rsid w:val="001E2C7A"/>
    <w:rsid w:val="001E45A3"/>
    <w:rsid w:val="001E74F7"/>
    <w:rsid w:val="001E7CE9"/>
    <w:rsid w:val="001F0E36"/>
    <w:rsid w:val="001F4AD0"/>
    <w:rsid w:val="001F7576"/>
    <w:rsid w:val="00200796"/>
    <w:rsid w:val="002068E7"/>
    <w:rsid w:val="00207684"/>
    <w:rsid w:val="00207852"/>
    <w:rsid w:val="002121E3"/>
    <w:rsid w:val="00213078"/>
    <w:rsid w:val="002135CD"/>
    <w:rsid w:val="00214C9A"/>
    <w:rsid w:val="00215670"/>
    <w:rsid w:val="0021634F"/>
    <w:rsid w:val="002220F6"/>
    <w:rsid w:val="0022249A"/>
    <w:rsid w:val="002245DB"/>
    <w:rsid w:val="00225244"/>
    <w:rsid w:val="002259DC"/>
    <w:rsid w:val="00226970"/>
    <w:rsid w:val="002313F4"/>
    <w:rsid w:val="0023146D"/>
    <w:rsid w:val="00231AA0"/>
    <w:rsid w:val="002331DB"/>
    <w:rsid w:val="00233F5D"/>
    <w:rsid w:val="00234A80"/>
    <w:rsid w:val="00235886"/>
    <w:rsid w:val="002406AB"/>
    <w:rsid w:val="00244A06"/>
    <w:rsid w:val="00244F52"/>
    <w:rsid w:val="0024543F"/>
    <w:rsid w:val="0024675D"/>
    <w:rsid w:val="00247EB1"/>
    <w:rsid w:val="00250BCF"/>
    <w:rsid w:val="00250BF2"/>
    <w:rsid w:val="00251986"/>
    <w:rsid w:val="0025357E"/>
    <w:rsid w:val="00253A63"/>
    <w:rsid w:val="002578ED"/>
    <w:rsid w:val="00260C97"/>
    <w:rsid w:val="002676E9"/>
    <w:rsid w:val="00272699"/>
    <w:rsid w:val="00276CD5"/>
    <w:rsid w:val="002814FC"/>
    <w:rsid w:val="00282E10"/>
    <w:rsid w:val="0028552B"/>
    <w:rsid w:val="002861FC"/>
    <w:rsid w:val="0028778F"/>
    <w:rsid w:val="00287BB8"/>
    <w:rsid w:val="00293D7E"/>
    <w:rsid w:val="002967E8"/>
    <w:rsid w:val="00296ADD"/>
    <w:rsid w:val="002A2080"/>
    <w:rsid w:val="002A23E2"/>
    <w:rsid w:val="002A2AD4"/>
    <w:rsid w:val="002A3D73"/>
    <w:rsid w:val="002A4612"/>
    <w:rsid w:val="002B1466"/>
    <w:rsid w:val="002B2A40"/>
    <w:rsid w:val="002B6349"/>
    <w:rsid w:val="002B68CE"/>
    <w:rsid w:val="002C3645"/>
    <w:rsid w:val="002C7280"/>
    <w:rsid w:val="002C7CC8"/>
    <w:rsid w:val="002D4E0F"/>
    <w:rsid w:val="002D6388"/>
    <w:rsid w:val="002E099E"/>
    <w:rsid w:val="002E3959"/>
    <w:rsid w:val="002E511F"/>
    <w:rsid w:val="002E5AAE"/>
    <w:rsid w:val="002E5C27"/>
    <w:rsid w:val="002E63DE"/>
    <w:rsid w:val="002F1011"/>
    <w:rsid w:val="00302EF4"/>
    <w:rsid w:val="0030649C"/>
    <w:rsid w:val="00310CDC"/>
    <w:rsid w:val="0032048F"/>
    <w:rsid w:val="0032271C"/>
    <w:rsid w:val="00323985"/>
    <w:rsid w:val="003252FB"/>
    <w:rsid w:val="00327E1D"/>
    <w:rsid w:val="00331E32"/>
    <w:rsid w:val="003320CF"/>
    <w:rsid w:val="00333196"/>
    <w:rsid w:val="003358D4"/>
    <w:rsid w:val="00337CA9"/>
    <w:rsid w:val="0034059F"/>
    <w:rsid w:val="00341F92"/>
    <w:rsid w:val="003446AA"/>
    <w:rsid w:val="00344DCB"/>
    <w:rsid w:val="00350EBA"/>
    <w:rsid w:val="00354E69"/>
    <w:rsid w:val="00355542"/>
    <w:rsid w:val="00355841"/>
    <w:rsid w:val="003565CB"/>
    <w:rsid w:val="00357843"/>
    <w:rsid w:val="003611AE"/>
    <w:rsid w:val="00363E67"/>
    <w:rsid w:val="00364318"/>
    <w:rsid w:val="00364776"/>
    <w:rsid w:val="003665D4"/>
    <w:rsid w:val="003745FB"/>
    <w:rsid w:val="00375E95"/>
    <w:rsid w:val="003775B3"/>
    <w:rsid w:val="0038161D"/>
    <w:rsid w:val="00382264"/>
    <w:rsid w:val="00384030"/>
    <w:rsid w:val="00384FD6"/>
    <w:rsid w:val="003863A8"/>
    <w:rsid w:val="003878C7"/>
    <w:rsid w:val="00391597"/>
    <w:rsid w:val="00392D76"/>
    <w:rsid w:val="00392E9C"/>
    <w:rsid w:val="00393FD5"/>
    <w:rsid w:val="00395E05"/>
    <w:rsid w:val="003A0416"/>
    <w:rsid w:val="003A44C9"/>
    <w:rsid w:val="003A4906"/>
    <w:rsid w:val="003A5CD7"/>
    <w:rsid w:val="003A7F8F"/>
    <w:rsid w:val="003B3B25"/>
    <w:rsid w:val="003B5523"/>
    <w:rsid w:val="003B6BCC"/>
    <w:rsid w:val="003C3E70"/>
    <w:rsid w:val="003C4BD9"/>
    <w:rsid w:val="003C73EB"/>
    <w:rsid w:val="003D6C17"/>
    <w:rsid w:val="003D787E"/>
    <w:rsid w:val="003E0DDD"/>
    <w:rsid w:val="003E258F"/>
    <w:rsid w:val="003E2714"/>
    <w:rsid w:val="003E2E1A"/>
    <w:rsid w:val="003F27A4"/>
    <w:rsid w:val="003F3FD1"/>
    <w:rsid w:val="003F699A"/>
    <w:rsid w:val="003F6E85"/>
    <w:rsid w:val="003F774E"/>
    <w:rsid w:val="00401052"/>
    <w:rsid w:val="00401F12"/>
    <w:rsid w:val="00403EEE"/>
    <w:rsid w:val="004123EE"/>
    <w:rsid w:val="00434C9A"/>
    <w:rsid w:val="00436970"/>
    <w:rsid w:val="00437ECA"/>
    <w:rsid w:val="00440CFC"/>
    <w:rsid w:val="00441C03"/>
    <w:rsid w:val="00443574"/>
    <w:rsid w:val="004440EC"/>
    <w:rsid w:val="00444D43"/>
    <w:rsid w:val="004455F6"/>
    <w:rsid w:val="00445C98"/>
    <w:rsid w:val="00446B63"/>
    <w:rsid w:val="0045057A"/>
    <w:rsid w:val="00450FFC"/>
    <w:rsid w:val="00452AB9"/>
    <w:rsid w:val="00453129"/>
    <w:rsid w:val="00453D32"/>
    <w:rsid w:val="00455348"/>
    <w:rsid w:val="00455544"/>
    <w:rsid w:val="00456C3D"/>
    <w:rsid w:val="004608F4"/>
    <w:rsid w:val="00470F08"/>
    <w:rsid w:val="00475186"/>
    <w:rsid w:val="004844D4"/>
    <w:rsid w:val="00487AB9"/>
    <w:rsid w:val="00490378"/>
    <w:rsid w:val="00490935"/>
    <w:rsid w:val="00492651"/>
    <w:rsid w:val="004A0E00"/>
    <w:rsid w:val="004A263E"/>
    <w:rsid w:val="004A429B"/>
    <w:rsid w:val="004A7550"/>
    <w:rsid w:val="004B07CA"/>
    <w:rsid w:val="004B3277"/>
    <w:rsid w:val="004B5D38"/>
    <w:rsid w:val="004C0B1E"/>
    <w:rsid w:val="004C1C6F"/>
    <w:rsid w:val="004C2A6D"/>
    <w:rsid w:val="004C57F8"/>
    <w:rsid w:val="004C7A96"/>
    <w:rsid w:val="004D0B30"/>
    <w:rsid w:val="004D71D5"/>
    <w:rsid w:val="004E4835"/>
    <w:rsid w:val="004E48DF"/>
    <w:rsid w:val="004E7D3E"/>
    <w:rsid w:val="004F075E"/>
    <w:rsid w:val="004F3B38"/>
    <w:rsid w:val="004F4051"/>
    <w:rsid w:val="004F4EB5"/>
    <w:rsid w:val="004F785D"/>
    <w:rsid w:val="005019E3"/>
    <w:rsid w:val="00505796"/>
    <w:rsid w:val="00506D59"/>
    <w:rsid w:val="0050766B"/>
    <w:rsid w:val="00513138"/>
    <w:rsid w:val="0051444B"/>
    <w:rsid w:val="00516AB5"/>
    <w:rsid w:val="00516F8F"/>
    <w:rsid w:val="0051793D"/>
    <w:rsid w:val="00520953"/>
    <w:rsid w:val="0052136F"/>
    <w:rsid w:val="00521B3B"/>
    <w:rsid w:val="00523093"/>
    <w:rsid w:val="0052544A"/>
    <w:rsid w:val="00535054"/>
    <w:rsid w:val="00536B51"/>
    <w:rsid w:val="0053714A"/>
    <w:rsid w:val="00537346"/>
    <w:rsid w:val="00542C8D"/>
    <w:rsid w:val="00550190"/>
    <w:rsid w:val="00555924"/>
    <w:rsid w:val="00556A53"/>
    <w:rsid w:val="00556BF1"/>
    <w:rsid w:val="00557FFE"/>
    <w:rsid w:val="005601FA"/>
    <w:rsid w:val="00560B68"/>
    <w:rsid w:val="0056397A"/>
    <w:rsid w:val="00570A0D"/>
    <w:rsid w:val="00570DAD"/>
    <w:rsid w:val="00571427"/>
    <w:rsid w:val="005715F3"/>
    <w:rsid w:val="00571B5E"/>
    <w:rsid w:val="00572367"/>
    <w:rsid w:val="00572AA5"/>
    <w:rsid w:val="0057490E"/>
    <w:rsid w:val="00574B98"/>
    <w:rsid w:val="00580270"/>
    <w:rsid w:val="00582AAC"/>
    <w:rsid w:val="00591AA7"/>
    <w:rsid w:val="00594C04"/>
    <w:rsid w:val="00596465"/>
    <w:rsid w:val="00597AAE"/>
    <w:rsid w:val="005A2BFB"/>
    <w:rsid w:val="005A4644"/>
    <w:rsid w:val="005A4D43"/>
    <w:rsid w:val="005B1058"/>
    <w:rsid w:val="005B17D0"/>
    <w:rsid w:val="005B3167"/>
    <w:rsid w:val="005B4F85"/>
    <w:rsid w:val="005B7499"/>
    <w:rsid w:val="005C0F2E"/>
    <w:rsid w:val="005C3ABD"/>
    <w:rsid w:val="005C4042"/>
    <w:rsid w:val="005D54A3"/>
    <w:rsid w:val="005D704B"/>
    <w:rsid w:val="005E39DE"/>
    <w:rsid w:val="005E3F04"/>
    <w:rsid w:val="005E43A3"/>
    <w:rsid w:val="00600742"/>
    <w:rsid w:val="006011BD"/>
    <w:rsid w:val="00601338"/>
    <w:rsid w:val="0060148C"/>
    <w:rsid w:val="00602A46"/>
    <w:rsid w:val="00603C22"/>
    <w:rsid w:val="00604A53"/>
    <w:rsid w:val="006058B7"/>
    <w:rsid w:val="006064B0"/>
    <w:rsid w:val="00607394"/>
    <w:rsid w:val="00607616"/>
    <w:rsid w:val="00612403"/>
    <w:rsid w:val="00614F4F"/>
    <w:rsid w:val="006200C2"/>
    <w:rsid w:val="00621759"/>
    <w:rsid w:val="0062377A"/>
    <w:rsid w:val="00624786"/>
    <w:rsid w:val="00625831"/>
    <w:rsid w:val="00625B46"/>
    <w:rsid w:val="00625CCB"/>
    <w:rsid w:val="006310F4"/>
    <w:rsid w:val="006325B8"/>
    <w:rsid w:val="00633E8E"/>
    <w:rsid w:val="00635347"/>
    <w:rsid w:val="006354DE"/>
    <w:rsid w:val="00635E85"/>
    <w:rsid w:val="00645F89"/>
    <w:rsid w:val="00652994"/>
    <w:rsid w:val="006579C9"/>
    <w:rsid w:val="00661185"/>
    <w:rsid w:val="00662C6E"/>
    <w:rsid w:val="00663EC2"/>
    <w:rsid w:val="0066406D"/>
    <w:rsid w:val="0066733F"/>
    <w:rsid w:val="00672CA6"/>
    <w:rsid w:val="0067571B"/>
    <w:rsid w:val="00675A1B"/>
    <w:rsid w:val="00677CC3"/>
    <w:rsid w:val="00681FDA"/>
    <w:rsid w:val="00683E29"/>
    <w:rsid w:val="00684FF0"/>
    <w:rsid w:val="00690825"/>
    <w:rsid w:val="00692320"/>
    <w:rsid w:val="00694A94"/>
    <w:rsid w:val="006958C2"/>
    <w:rsid w:val="006A0FF1"/>
    <w:rsid w:val="006A1993"/>
    <w:rsid w:val="006A7AE3"/>
    <w:rsid w:val="006B08F3"/>
    <w:rsid w:val="006B14C1"/>
    <w:rsid w:val="006B3D65"/>
    <w:rsid w:val="006B57B6"/>
    <w:rsid w:val="006C0DC2"/>
    <w:rsid w:val="006C3270"/>
    <w:rsid w:val="006C40AC"/>
    <w:rsid w:val="006C4F9D"/>
    <w:rsid w:val="006D0268"/>
    <w:rsid w:val="006D0570"/>
    <w:rsid w:val="006D3C74"/>
    <w:rsid w:val="006D40BB"/>
    <w:rsid w:val="006D4D03"/>
    <w:rsid w:val="006D5A8A"/>
    <w:rsid w:val="006D7529"/>
    <w:rsid w:val="006E4EB4"/>
    <w:rsid w:val="006F1CBD"/>
    <w:rsid w:val="006F5862"/>
    <w:rsid w:val="006F719F"/>
    <w:rsid w:val="00702E36"/>
    <w:rsid w:val="007038B9"/>
    <w:rsid w:val="00704961"/>
    <w:rsid w:val="00707FC3"/>
    <w:rsid w:val="00710229"/>
    <w:rsid w:val="007170BE"/>
    <w:rsid w:val="007175BC"/>
    <w:rsid w:val="00720214"/>
    <w:rsid w:val="00723304"/>
    <w:rsid w:val="0073079F"/>
    <w:rsid w:val="00732207"/>
    <w:rsid w:val="007336B7"/>
    <w:rsid w:val="00734EFD"/>
    <w:rsid w:val="00736172"/>
    <w:rsid w:val="00741C76"/>
    <w:rsid w:val="007420F1"/>
    <w:rsid w:val="00742B98"/>
    <w:rsid w:val="00747495"/>
    <w:rsid w:val="007513D3"/>
    <w:rsid w:val="00757232"/>
    <w:rsid w:val="0075771F"/>
    <w:rsid w:val="00770A66"/>
    <w:rsid w:val="00773E9D"/>
    <w:rsid w:val="00774175"/>
    <w:rsid w:val="00775DB7"/>
    <w:rsid w:val="00777F98"/>
    <w:rsid w:val="00782C47"/>
    <w:rsid w:val="00783118"/>
    <w:rsid w:val="007861F7"/>
    <w:rsid w:val="0078741A"/>
    <w:rsid w:val="00787649"/>
    <w:rsid w:val="007924D7"/>
    <w:rsid w:val="00794566"/>
    <w:rsid w:val="0079699A"/>
    <w:rsid w:val="007A2B0F"/>
    <w:rsid w:val="007A35B3"/>
    <w:rsid w:val="007A3700"/>
    <w:rsid w:val="007A5AA6"/>
    <w:rsid w:val="007B1AF7"/>
    <w:rsid w:val="007B2925"/>
    <w:rsid w:val="007B2ABE"/>
    <w:rsid w:val="007B2ED2"/>
    <w:rsid w:val="007B3958"/>
    <w:rsid w:val="007B6203"/>
    <w:rsid w:val="007B659D"/>
    <w:rsid w:val="007B6D71"/>
    <w:rsid w:val="007C1159"/>
    <w:rsid w:val="007C1781"/>
    <w:rsid w:val="007C2664"/>
    <w:rsid w:val="007C7333"/>
    <w:rsid w:val="007C76B1"/>
    <w:rsid w:val="007D0102"/>
    <w:rsid w:val="007D06ED"/>
    <w:rsid w:val="007D249F"/>
    <w:rsid w:val="007D4F37"/>
    <w:rsid w:val="007D6788"/>
    <w:rsid w:val="007E371D"/>
    <w:rsid w:val="007F4A1B"/>
    <w:rsid w:val="007F4DB0"/>
    <w:rsid w:val="008015C8"/>
    <w:rsid w:val="0080447A"/>
    <w:rsid w:val="00804AD9"/>
    <w:rsid w:val="00806CF9"/>
    <w:rsid w:val="00812D86"/>
    <w:rsid w:val="00816863"/>
    <w:rsid w:val="00820824"/>
    <w:rsid w:val="00820870"/>
    <w:rsid w:val="00820F5C"/>
    <w:rsid w:val="008216BB"/>
    <w:rsid w:val="008223A8"/>
    <w:rsid w:val="008312C4"/>
    <w:rsid w:val="00833D18"/>
    <w:rsid w:val="00835775"/>
    <w:rsid w:val="00842642"/>
    <w:rsid w:val="00842BF8"/>
    <w:rsid w:val="00843FFB"/>
    <w:rsid w:val="00845F93"/>
    <w:rsid w:val="00850FE9"/>
    <w:rsid w:val="00851B51"/>
    <w:rsid w:val="008540C1"/>
    <w:rsid w:val="0085503B"/>
    <w:rsid w:val="008612BC"/>
    <w:rsid w:val="00865974"/>
    <w:rsid w:val="00865E5B"/>
    <w:rsid w:val="00867E31"/>
    <w:rsid w:val="00873459"/>
    <w:rsid w:val="008741F4"/>
    <w:rsid w:val="00876A2B"/>
    <w:rsid w:val="00880F9C"/>
    <w:rsid w:val="00893879"/>
    <w:rsid w:val="008952BC"/>
    <w:rsid w:val="00896FE3"/>
    <w:rsid w:val="008972AA"/>
    <w:rsid w:val="00897AB3"/>
    <w:rsid w:val="00897D0D"/>
    <w:rsid w:val="008B1728"/>
    <w:rsid w:val="008B193D"/>
    <w:rsid w:val="008B1D89"/>
    <w:rsid w:val="008B31EB"/>
    <w:rsid w:val="008B3E09"/>
    <w:rsid w:val="008B6F0E"/>
    <w:rsid w:val="008B7015"/>
    <w:rsid w:val="008C3540"/>
    <w:rsid w:val="008C7307"/>
    <w:rsid w:val="008D1170"/>
    <w:rsid w:val="008D66D9"/>
    <w:rsid w:val="008D6807"/>
    <w:rsid w:val="008E3B1C"/>
    <w:rsid w:val="008E53F5"/>
    <w:rsid w:val="008E6705"/>
    <w:rsid w:val="008F1109"/>
    <w:rsid w:val="008F5FF8"/>
    <w:rsid w:val="008F6F8E"/>
    <w:rsid w:val="0090223C"/>
    <w:rsid w:val="00907658"/>
    <w:rsid w:val="00911110"/>
    <w:rsid w:val="00912E9D"/>
    <w:rsid w:val="00913DE7"/>
    <w:rsid w:val="0091459E"/>
    <w:rsid w:val="009147BF"/>
    <w:rsid w:val="009200F0"/>
    <w:rsid w:val="00921C96"/>
    <w:rsid w:val="00922681"/>
    <w:rsid w:val="009239B9"/>
    <w:rsid w:val="009252BA"/>
    <w:rsid w:val="00927B7B"/>
    <w:rsid w:val="009326C2"/>
    <w:rsid w:val="009362F6"/>
    <w:rsid w:val="009365A5"/>
    <w:rsid w:val="00936FE0"/>
    <w:rsid w:val="00940AA9"/>
    <w:rsid w:val="00940C5A"/>
    <w:rsid w:val="009447B6"/>
    <w:rsid w:val="00944AFE"/>
    <w:rsid w:val="00946771"/>
    <w:rsid w:val="009473C5"/>
    <w:rsid w:val="00954AD9"/>
    <w:rsid w:val="009554B0"/>
    <w:rsid w:val="00957598"/>
    <w:rsid w:val="009635C1"/>
    <w:rsid w:val="0096715D"/>
    <w:rsid w:val="00970348"/>
    <w:rsid w:val="00973605"/>
    <w:rsid w:val="00974ED6"/>
    <w:rsid w:val="00975050"/>
    <w:rsid w:val="00986EA8"/>
    <w:rsid w:val="00990A9B"/>
    <w:rsid w:val="009A38BC"/>
    <w:rsid w:val="009A3E67"/>
    <w:rsid w:val="009A7666"/>
    <w:rsid w:val="009B012B"/>
    <w:rsid w:val="009B109C"/>
    <w:rsid w:val="009B18FD"/>
    <w:rsid w:val="009B5D9A"/>
    <w:rsid w:val="009B70A1"/>
    <w:rsid w:val="009C3826"/>
    <w:rsid w:val="009C3E71"/>
    <w:rsid w:val="009C4A90"/>
    <w:rsid w:val="009D2A31"/>
    <w:rsid w:val="009D3C89"/>
    <w:rsid w:val="009D4E67"/>
    <w:rsid w:val="009D6B25"/>
    <w:rsid w:val="009E06A5"/>
    <w:rsid w:val="009E2FA5"/>
    <w:rsid w:val="009E3D1F"/>
    <w:rsid w:val="009E41C5"/>
    <w:rsid w:val="009E6A4A"/>
    <w:rsid w:val="009E74F5"/>
    <w:rsid w:val="009F0216"/>
    <w:rsid w:val="009F1BDC"/>
    <w:rsid w:val="009F2118"/>
    <w:rsid w:val="009F55D9"/>
    <w:rsid w:val="009F7893"/>
    <w:rsid w:val="00A0413B"/>
    <w:rsid w:val="00A0527C"/>
    <w:rsid w:val="00A0617B"/>
    <w:rsid w:val="00A11546"/>
    <w:rsid w:val="00A1361A"/>
    <w:rsid w:val="00A13B08"/>
    <w:rsid w:val="00A140C8"/>
    <w:rsid w:val="00A14848"/>
    <w:rsid w:val="00A157F9"/>
    <w:rsid w:val="00A21446"/>
    <w:rsid w:val="00A22ECD"/>
    <w:rsid w:val="00A235C5"/>
    <w:rsid w:val="00A308F8"/>
    <w:rsid w:val="00A3329A"/>
    <w:rsid w:val="00A3788E"/>
    <w:rsid w:val="00A41701"/>
    <w:rsid w:val="00A43539"/>
    <w:rsid w:val="00A43839"/>
    <w:rsid w:val="00A456C0"/>
    <w:rsid w:val="00A45D08"/>
    <w:rsid w:val="00A52BF9"/>
    <w:rsid w:val="00A62503"/>
    <w:rsid w:val="00A65844"/>
    <w:rsid w:val="00A678DF"/>
    <w:rsid w:val="00A70C1B"/>
    <w:rsid w:val="00A72B58"/>
    <w:rsid w:val="00A73B1C"/>
    <w:rsid w:val="00A73CF6"/>
    <w:rsid w:val="00A740E1"/>
    <w:rsid w:val="00A83D75"/>
    <w:rsid w:val="00A86482"/>
    <w:rsid w:val="00A9472D"/>
    <w:rsid w:val="00A94F51"/>
    <w:rsid w:val="00A9600C"/>
    <w:rsid w:val="00AA3353"/>
    <w:rsid w:val="00AA4743"/>
    <w:rsid w:val="00AB0CE0"/>
    <w:rsid w:val="00AB1C35"/>
    <w:rsid w:val="00AB577C"/>
    <w:rsid w:val="00AB6C5B"/>
    <w:rsid w:val="00AC1D84"/>
    <w:rsid w:val="00AC2B8F"/>
    <w:rsid w:val="00AC3421"/>
    <w:rsid w:val="00AC3F2B"/>
    <w:rsid w:val="00AD00E2"/>
    <w:rsid w:val="00AD20B6"/>
    <w:rsid w:val="00AD2732"/>
    <w:rsid w:val="00AD421B"/>
    <w:rsid w:val="00AE0A7A"/>
    <w:rsid w:val="00AE0E3F"/>
    <w:rsid w:val="00AE46D6"/>
    <w:rsid w:val="00AE4836"/>
    <w:rsid w:val="00AE6BAD"/>
    <w:rsid w:val="00AE7210"/>
    <w:rsid w:val="00AE731D"/>
    <w:rsid w:val="00AE7A72"/>
    <w:rsid w:val="00AF0AE6"/>
    <w:rsid w:val="00AF1229"/>
    <w:rsid w:val="00AF141C"/>
    <w:rsid w:val="00AF2BE1"/>
    <w:rsid w:val="00AF4AD7"/>
    <w:rsid w:val="00AF5237"/>
    <w:rsid w:val="00AF6EBD"/>
    <w:rsid w:val="00B02AF5"/>
    <w:rsid w:val="00B0711B"/>
    <w:rsid w:val="00B109A2"/>
    <w:rsid w:val="00B11126"/>
    <w:rsid w:val="00B12AF5"/>
    <w:rsid w:val="00B14F5C"/>
    <w:rsid w:val="00B20137"/>
    <w:rsid w:val="00B21AFB"/>
    <w:rsid w:val="00B224FD"/>
    <w:rsid w:val="00B241BA"/>
    <w:rsid w:val="00B242A3"/>
    <w:rsid w:val="00B27998"/>
    <w:rsid w:val="00B33B26"/>
    <w:rsid w:val="00B41756"/>
    <w:rsid w:val="00B462D6"/>
    <w:rsid w:val="00B46D02"/>
    <w:rsid w:val="00B51198"/>
    <w:rsid w:val="00B53DAA"/>
    <w:rsid w:val="00B5646B"/>
    <w:rsid w:val="00B564CE"/>
    <w:rsid w:val="00B56569"/>
    <w:rsid w:val="00B57A95"/>
    <w:rsid w:val="00B60695"/>
    <w:rsid w:val="00B628CC"/>
    <w:rsid w:val="00B6370D"/>
    <w:rsid w:val="00B67AC3"/>
    <w:rsid w:val="00B724C1"/>
    <w:rsid w:val="00B748E7"/>
    <w:rsid w:val="00B74B8E"/>
    <w:rsid w:val="00B751F9"/>
    <w:rsid w:val="00B75BFB"/>
    <w:rsid w:val="00B77563"/>
    <w:rsid w:val="00B778F3"/>
    <w:rsid w:val="00B80A22"/>
    <w:rsid w:val="00B81904"/>
    <w:rsid w:val="00B842D9"/>
    <w:rsid w:val="00B84CA5"/>
    <w:rsid w:val="00B85048"/>
    <w:rsid w:val="00B857B6"/>
    <w:rsid w:val="00B86ABF"/>
    <w:rsid w:val="00B86E07"/>
    <w:rsid w:val="00B91E12"/>
    <w:rsid w:val="00B91E95"/>
    <w:rsid w:val="00B92B25"/>
    <w:rsid w:val="00B958B4"/>
    <w:rsid w:val="00B9624D"/>
    <w:rsid w:val="00BA0619"/>
    <w:rsid w:val="00BA14B3"/>
    <w:rsid w:val="00BB13AF"/>
    <w:rsid w:val="00BB1FFF"/>
    <w:rsid w:val="00BB3DC6"/>
    <w:rsid w:val="00BB56DB"/>
    <w:rsid w:val="00BB6B0F"/>
    <w:rsid w:val="00BC6CDD"/>
    <w:rsid w:val="00BD2CD7"/>
    <w:rsid w:val="00BD3166"/>
    <w:rsid w:val="00BE2F06"/>
    <w:rsid w:val="00BE4A6A"/>
    <w:rsid w:val="00BF4556"/>
    <w:rsid w:val="00BF51DA"/>
    <w:rsid w:val="00BF5847"/>
    <w:rsid w:val="00BF6577"/>
    <w:rsid w:val="00BF7513"/>
    <w:rsid w:val="00BF7B9F"/>
    <w:rsid w:val="00C00ADD"/>
    <w:rsid w:val="00C022A0"/>
    <w:rsid w:val="00C02982"/>
    <w:rsid w:val="00C05A7B"/>
    <w:rsid w:val="00C06C79"/>
    <w:rsid w:val="00C071BA"/>
    <w:rsid w:val="00C11462"/>
    <w:rsid w:val="00C2281E"/>
    <w:rsid w:val="00C2749A"/>
    <w:rsid w:val="00C31C05"/>
    <w:rsid w:val="00C32D2E"/>
    <w:rsid w:val="00C345F8"/>
    <w:rsid w:val="00C430FD"/>
    <w:rsid w:val="00C51286"/>
    <w:rsid w:val="00C5469F"/>
    <w:rsid w:val="00C54D15"/>
    <w:rsid w:val="00C5653C"/>
    <w:rsid w:val="00C56987"/>
    <w:rsid w:val="00C57403"/>
    <w:rsid w:val="00C60E60"/>
    <w:rsid w:val="00C64DC9"/>
    <w:rsid w:val="00C723E7"/>
    <w:rsid w:val="00C74F24"/>
    <w:rsid w:val="00C767B8"/>
    <w:rsid w:val="00C82654"/>
    <w:rsid w:val="00C84CDC"/>
    <w:rsid w:val="00C861DF"/>
    <w:rsid w:val="00C87256"/>
    <w:rsid w:val="00C93A75"/>
    <w:rsid w:val="00C94A03"/>
    <w:rsid w:val="00CA035F"/>
    <w:rsid w:val="00CA38CE"/>
    <w:rsid w:val="00CA45F8"/>
    <w:rsid w:val="00CA50D4"/>
    <w:rsid w:val="00CA72E8"/>
    <w:rsid w:val="00CB264B"/>
    <w:rsid w:val="00CB3598"/>
    <w:rsid w:val="00CB4859"/>
    <w:rsid w:val="00CB6368"/>
    <w:rsid w:val="00CB6E6B"/>
    <w:rsid w:val="00CC20E7"/>
    <w:rsid w:val="00CC340B"/>
    <w:rsid w:val="00CC4E74"/>
    <w:rsid w:val="00CC6216"/>
    <w:rsid w:val="00CD0DF9"/>
    <w:rsid w:val="00CD162A"/>
    <w:rsid w:val="00CD1DE4"/>
    <w:rsid w:val="00CD2017"/>
    <w:rsid w:val="00CD3847"/>
    <w:rsid w:val="00CD5536"/>
    <w:rsid w:val="00CD6485"/>
    <w:rsid w:val="00CE19C6"/>
    <w:rsid w:val="00CE2DA5"/>
    <w:rsid w:val="00CE6193"/>
    <w:rsid w:val="00CE6D6D"/>
    <w:rsid w:val="00CF3BB5"/>
    <w:rsid w:val="00CF4267"/>
    <w:rsid w:val="00CF5F50"/>
    <w:rsid w:val="00CF614D"/>
    <w:rsid w:val="00CF6467"/>
    <w:rsid w:val="00D022FF"/>
    <w:rsid w:val="00D036E1"/>
    <w:rsid w:val="00D11A28"/>
    <w:rsid w:val="00D1575B"/>
    <w:rsid w:val="00D2030F"/>
    <w:rsid w:val="00D20600"/>
    <w:rsid w:val="00D23B71"/>
    <w:rsid w:val="00D26217"/>
    <w:rsid w:val="00D27A58"/>
    <w:rsid w:val="00D27D83"/>
    <w:rsid w:val="00D341F6"/>
    <w:rsid w:val="00D34910"/>
    <w:rsid w:val="00D35218"/>
    <w:rsid w:val="00D36781"/>
    <w:rsid w:val="00D37167"/>
    <w:rsid w:val="00D4273C"/>
    <w:rsid w:val="00D42A7C"/>
    <w:rsid w:val="00D448F8"/>
    <w:rsid w:val="00D44D53"/>
    <w:rsid w:val="00D45525"/>
    <w:rsid w:val="00D46B5E"/>
    <w:rsid w:val="00D51855"/>
    <w:rsid w:val="00D576D9"/>
    <w:rsid w:val="00D654D3"/>
    <w:rsid w:val="00D71709"/>
    <w:rsid w:val="00D72134"/>
    <w:rsid w:val="00D80498"/>
    <w:rsid w:val="00D857D9"/>
    <w:rsid w:val="00D861C3"/>
    <w:rsid w:val="00D94E92"/>
    <w:rsid w:val="00D94EE4"/>
    <w:rsid w:val="00DB081F"/>
    <w:rsid w:val="00DB35D0"/>
    <w:rsid w:val="00DB35E0"/>
    <w:rsid w:val="00DB41FB"/>
    <w:rsid w:val="00DB7C5C"/>
    <w:rsid w:val="00DB7D7B"/>
    <w:rsid w:val="00DC30D0"/>
    <w:rsid w:val="00DC5300"/>
    <w:rsid w:val="00DC59BE"/>
    <w:rsid w:val="00DC7DE4"/>
    <w:rsid w:val="00DD3AB9"/>
    <w:rsid w:val="00DD47B0"/>
    <w:rsid w:val="00DE1F39"/>
    <w:rsid w:val="00DE29A2"/>
    <w:rsid w:val="00DE4CE8"/>
    <w:rsid w:val="00DE78C1"/>
    <w:rsid w:val="00DF1758"/>
    <w:rsid w:val="00DF3214"/>
    <w:rsid w:val="00DF4E9E"/>
    <w:rsid w:val="00DF60E8"/>
    <w:rsid w:val="00DF655E"/>
    <w:rsid w:val="00DF78C0"/>
    <w:rsid w:val="00DF7FCE"/>
    <w:rsid w:val="00E02F2C"/>
    <w:rsid w:val="00E05E36"/>
    <w:rsid w:val="00E06C26"/>
    <w:rsid w:val="00E07493"/>
    <w:rsid w:val="00E128DD"/>
    <w:rsid w:val="00E151BB"/>
    <w:rsid w:val="00E15E82"/>
    <w:rsid w:val="00E22291"/>
    <w:rsid w:val="00E2276A"/>
    <w:rsid w:val="00E23915"/>
    <w:rsid w:val="00E23E8E"/>
    <w:rsid w:val="00E248FC"/>
    <w:rsid w:val="00E2548B"/>
    <w:rsid w:val="00E25F31"/>
    <w:rsid w:val="00E26E80"/>
    <w:rsid w:val="00E37849"/>
    <w:rsid w:val="00E424D0"/>
    <w:rsid w:val="00E43455"/>
    <w:rsid w:val="00E53C2B"/>
    <w:rsid w:val="00E5431C"/>
    <w:rsid w:val="00E54F85"/>
    <w:rsid w:val="00E57A88"/>
    <w:rsid w:val="00E57BE1"/>
    <w:rsid w:val="00E60339"/>
    <w:rsid w:val="00E6580D"/>
    <w:rsid w:val="00E67793"/>
    <w:rsid w:val="00E7266F"/>
    <w:rsid w:val="00E74629"/>
    <w:rsid w:val="00E749AA"/>
    <w:rsid w:val="00E74FFB"/>
    <w:rsid w:val="00E75482"/>
    <w:rsid w:val="00E75AEC"/>
    <w:rsid w:val="00E75DC9"/>
    <w:rsid w:val="00E76C2E"/>
    <w:rsid w:val="00E778D7"/>
    <w:rsid w:val="00E81517"/>
    <w:rsid w:val="00E825CA"/>
    <w:rsid w:val="00E858C5"/>
    <w:rsid w:val="00E86E00"/>
    <w:rsid w:val="00E90E50"/>
    <w:rsid w:val="00E97D1D"/>
    <w:rsid w:val="00EA260F"/>
    <w:rsid w:val="00EB4835"/>
    <w:rsid w:val="00EB5839"/>
    <w:rsid w:val="00EB7220"/>
    <w:rsid w:val="00EC1D3B"/>
    <w:rsid w:val="00EC2603"/>
    <w:rsid w:val="00ED0F64"/>
    <w:rsid w:val="00ED1905"/>
    <w:rsid w:val="00EE0B3C"/>
    <w:rsid w:val="00EE1BD5"/>
    <w:rsid w:val="00EE238F"/>
    <w:rsid w:val="00EE6700"/>
    <w:rsid w:val="00EF3960"/>
    <w:rsid w:val="00EF5A0F"/>
    <w:rsid w:val="00F04FC7"/>
    <w:rsid w:val="00F07A36"/>
    <w:rsid w:val="00F11657"/>
    <w:rsid w:val="00F13E30"/>
    <w:rsid w:val="00F17945"/>
    <w:rsid w:val="00F20A62"/>
    <w:rsid w:val="00F24BDA"/>
    <w:rsid w:val="00F31B1A"/>
    <w:rsid w:val="00F32CCD"/>
    <w:rsid w:val="00F34625"/>
    <w:rsid w:val="00F350A0"/>
    <w:rsid w:val="00F3778F"/>
    <w:rsid w:val="00F41212"/>
    <w:rsid w:val="00F428B6"/>
    <w:rsid w:val="00F441FD"/>
    <w:rsid w:val="00F47109"/>
    <w:rsid w:val="00F50D85"/>
    <w:rsid w:val="00F52FC7"/>
    <w:rsid w:val="00F57308"/>
    <w:rsid w:val="00F6101C"/>
    <w:rsid w:val="00F63429"/>
    <w:rsid w:val="00F653BF"/>
    <w:rsid w:val="00F6785E"/>
    <w:rsid w:val="00F70713"/>
    <w:rsid w:val="00F76086"/>
    <w:rsid w:val="00F8036C"/>
    <w:rsid w:val="00F81144"/>
    <w:rsid w:val="00F83B7F"/>
    <w:rsid w:val="00F85B59"/>
    <w:rsid w:val="00F908B2"/>
    <w:rsid w:val="00F90D70"/>
    <w:rsid w:val="00F92166"/>
    <w:rsid w:val="00F935E4"/>
    <w:rsid w:val="00F95CFE"/>
    <w:rsid w:val="00F97639"/>
    <w:rsid w:val="00F97780"/>
    <w:rsid w:val="00FA1A5A"/>
    <w:rsid w:val="00FB1235"/>
    <w:rsid w:val="00FB49B9"/>
    <w:rsid w:val="00FC277F"/>
    <w:rsid w:val="00FC679C"/>
    <w:rsid w:val="00FD0636"/>
    <w:rsid w:val="00FD2BCD"/>
    <w:rsid w:val="00FD4DA7"/>
    <w:rsid w:val="00FD5384"/>
    <w:rsid w:val="00FD63BD"/>
    <w:rsid w:val="00FE25C0"/>
    <w:rsid w:val="00FE3884"/>
    <w:rsid w:val="00FE7A39"/>
    <w:rsid w:val="00FF1E9A"/>
    <w:rsid w:val="00FF3AF6"/>
    <w:rsid w:val="00FF58A8"/>
    <w:rsid w:val="00FF7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117B496-6041-48E7-9908-0BAB8BFE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Batang"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97D0D"/>
    <w:pPr>
      <w:spacing w:after="0"/>
    </w:pPr>
    <w:rPr>
      <w:szCs w:val="22"/>
    </w:rPr>
  </w:style>
  <w:style w:type="paragraph" w:styleId="Kop1">
    <w:name w:val="heading 1"/>
    <w:basedOn w:val="Standaard"/>
    <w:next w:val="Standaard"/>
    <w:link w:val="Kop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Kop2">
    <w:name w:val="heading 2"/>
    <w:basedOn w:val="Standaard"/>
    <w:next w:val="Standaard"/>
    <w:link w:val="Kop2Char"/>
    <w:uiPriority w:val="1"/>
    <w:unhideWhenUsed/>
    <w:qFormat/>
    <w:rsid w:val="0028552B"/>
    <w:pPr>
      <w:keepNext/>
      <w:keepLines/>
      <w:numPr>
        <w:ilvl w:val="1"/>
        <w:numId w:val="2"/>
      </w:numPr>
      <w:spacing w:before="227"/>
      <w:outlineLvl w:val="1"/>
    </w:pPr>
    <w:rPr>
      <w:rFonts w:eastAsiaTheme="majorEastAsia" w:cstheme="majorBidi"/>
      <w:b/>
      <w:szCs w:val="26"/>
    </w:rPr>
  </w:style>
  <w:style w:type="paragraph" w:styleId="Kop3">
    <w:name w:val="heading 3"/>
    <w:basedOn w:val="Standaard"/>
    <w:next w:val="Standaard"/>
    <w:link w:val="Kop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5D9A"/>
    <w:pPr>
      <w:tabs>
        <w:tab w:val="center" w:pos="4536"/>
        <w:tab w:val="right" w:pos="9072"/>
      </w:tabs>
    </w:pPr>
  </w:style>
  <w:style w:type="character" w:customStyle="1" w:styleId="KoptekstChar">
    <w:name w:val="Koptekst Char"/>
    <w:basedOn w:val="Standaardalinea-lettertype"/>
    <w:link w:val="Koptekst"/>
    <w:uiPriority w:val="99"/>
    <w:rsid w:val="009B5D9A"/>
    <w:rPr>
      <w:rFonts w:ascii="Verdana" w:hAnsi="Verdana"/>
      <w:sz w:val="17"/>
    </w:rPr>
  </w:style>
  <w:style w:type="paragraph" w:styleId="Voettekst">
    <w:name w:val="footer"/>
    <w:basedOn w:val="Standaard"/>
    <w:link w:val="VoettekstChar"/>
    <w:uiPriority w:val="99"/>
    <w:unhideWhenUsed/>
    <w:rsid w:val="000A2A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A2A03"/>
    <w:rPr>
      <w:rFonts w:ascii="Verdana" w:hAnsi="Verdana"/>
      <w:sz w:val="17"/>
    </w:rPr>
  </w:style>
  <w:style w:type="paragraph" w:customStyle="1" w:styleId="Alineakop">
    <w:name w:val="Alineakop"/>
    <w:basedOn w:val="Standaard"/>
    <w:next w:val="Standaard"/>
    <w:link w:val="AlineakopChar"/>
    <w:uiPriority w:val="1"/>
    <w:qFormat/>
    <w:rsid w:val="00777F98"/>
    <w:rPr>
      <w:b/>
      <w:noProof/>
      <w:lang w:eastAsia="nl-NL"/>
    </w:rPr>
  </w:style>
  <w:style w:type="paragraph" w:customStyle="1" w:styleId="Opsomming1eniveau">
    <w:name w:val="Opsomming 1e niveau"/>
    <w:basedOn w:val="Standaard"/>
    <w:uiPriority w:val="1"/>
    <w:qFormat/>
    <w:rsid w:val="00490378"/>
    <w:pPr>
      <w:numPr>
        <w:numId w:val="1"/>
      </w:numPr>
    </w:pPr>
    <w:rPr>
      <w:noProof/>
      <w:lang w:eastAsia="nl-NL"/>
    </w:rPr>
  </w:style>
  <w:style w:type="character" w:customStyle="1" w:styleId="AlineakopChar">
    <w:name w:val="Alineakop Char"/>
    <w:basedOn w:val="Standaardalinea-lettertype"/>
    <w:link w:val="Alineakop"/>
    <w:uiPriority w:val="1"/>
    <w:rsid w:val="00E81517"/>
    <w:rPr>
      <w:rFonts w:ascii="Verdana" w:hAnsi="Verdana"/>
      <w:b/>
      <w:noProof/>
      <w:sz w:val="17"/>
      <w:lang w:eastAsia="nl-NL"/>
    </w:rPr>
  </w:style>
  <w:style w:type="paragraph" w:customStyle="1" w:styleId="Opsomming2eniveau">
    <w:name w:val="Opsomming 2e niveau"/>
    <w:basedOn w:val="Standaard"/>
    <w:uiPriority w:val="1"/>
    <w:qFormat/>
    <w:rsid w:val="00490378"/>
    <w:pPr>
      <w:numPr>
        <w:ilvl w:val="1"/>
        <w:numId w:val="1"/>
      </w:numPr>
    </w:pPr>
  </w:style>
  <w:style w:type="character" w:customStyle="1" w:styleId="Kop1Char">
    <w:name w:val="Kop 1 Char"/>
    <w:basedOn w:val="Standaardalinea-lettertype"/>
    <w:link w:val="Kop1"/>
    <w:uiPriority w:val="1"/>
    <w:rsid w:val="0028552B"/>
    <w:rPr>
      <w:rFonts w:ascii="Verdana" w:eastAsiaTheme="majorEastAsia" w:hAnsi="Verdana" w:cstheme="majorBidi"/>
      <w:b/>
      <w:szCs w:val="32"/>
    </w:rPr>
  </w:style>
  <w:style w:type="character" w:customStyle="1" w:styleId="Kop2Char">
    <w:name w:val="Kop 2 Char"/>
    <w:basedOn w:val="Standaardalinea-lettertype"/>
    <w:link w:val="Kop2"/>
    <w:uiPriority w:val="1"/>
    <w:rsid w:val="0028552B"/>
    <w:rPr>
      <w:rFonts w:ascii="Verdana" w:eastAsiaTheme="majorEastAsia" w:hAnsi="Verdana" w:cstheme="majorBidi"/>
      <w:b/>
      <w:sz w:val="17"/>
      <w:szCs w:val="26"/>
    </w:rPr>
  </w:style>
  <w:style w:type="paragraph" w:styleId="Titel">
    <w:name w:val="Title"/>
    <w:basedOn w:val="Standaard"/>
    <w:next w:val="Standaard"/>
    <w:link w:val="Titel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semiHidden/>
    <w:rsid w:val="00E8151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semiHidden/>
    <w:rsid w:val="00E81517"/>
    <w:rPr>
      <w:rFonts w:eastAsiaTheme="minorEastAsia"/>
      <w:color w:val="5A5A5A" w:themeColor="text1" w:themeTint="A5"/>
      <w:spacing w:val="15"/>
    </w:rPr>
  </w:style>
  <w:style w:type="character" w:styleId="Subtielebenadrukking">
    <w:name w:val="Subtle Emphasis"/>
    <w:basedOn w:val="Standaardalinea-lettertype"/>
    <w:uiPriority w:val="19"/>
    <w:semiHidden/>
    <w:rsid w:val="009147BF"/>
    <w:rPr>
      <w:i/>
      <w:iCs/>
      <w:color w:val="404040" w:themeColor="text1" w:themeTint="BF"/>
    </w:rPr>
  </w:style>
  <w:style w:type="character" w:styleId="Nadruk">
    <w:name w:val="Emphasis"/>
    <w:basedOn w:val="Standaardalinea-lettertype"/>
    <w:uiPriority w:val="20"/>
    <w:semiHidden/>
    <w:rsid w:val="009147BF"/>
    <w:rPr>
      <w:i/>
      <w:iCs/>
    </w:rPr>
  </w:style>
  <w:style w:type="character" w:styleId="Intensievebenadrukking">
    <w:name w:val="Intense Emphasis"/>
    <w:basedOn w:val="Standaardalinea-lettertype"/>
    <w:uiPriority w:val="21"/>
    <w:semiHidden/>
    <w:rsid w:val="009147BF"/>
    <w:rPr>
      <w:i/>
      <w:iCs/>
      <w:color w:val="5B9BD5" w:themeColor="accent1"/>
    </w:rPr>
  </w:style>
  <w:style w:type="character" w:styleId="Zwaar">
    <w:name w:val="Strong"/>
    <w:basedOn w:val="Standaardalinea-lettertype"/>
    <w:uiPriority w:val="22"/>
    <w:semiHidden/>
    <w:rsid w:val="009147BF"/>
    <w:rPr>
      <w:b/>
      <w:bCs/>
    </w:rPr>
  </w:style>
  <w:style w:type="paragraph" w:styleId="Citaat">
    <w:name w:val="Quote"/>
    <w:basedOn w:val="Standaard"/>
    <w:next w:val="Standaard"/>
    <w:link w:val="CitaatChar"/>
    <w:uiPriority w:val="29"/>
    <w:semiHidden/>
    <w:rsid w:val="009147B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E81517"/>
    <w:rPr>
      <w:rFonts w:ascii="Verdana" w:hAnsi="Verdana"/>
      <w:i/>
      <w:iCs/>
      <w:color w:val="404040" w:themeColor="text1" w:themeTint="BF"/>
      <w:sz w:val="17"/>
    </w:rPr>
  </w:style>
  <w:style w:type="paragraph" w:styleId="Duidelijkcitaat">
    <w:name w:val="Intense Quote"/>
    <w:basedOn w:val="Standaard"/>
    <w:next w:val="Standaard"/>
    <w:link w:val="Duidelijkcitaat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semiHidden/>
    <w:rsid w:val="00E81517"/>
    <w:rPr>
      <w:rFonts w:ascii="Verdana" w:hAnsi="Verdana"/>
      <w:i/>
      <w:iCs/>
      <w:color w:val="5B9BD5" w:themeColor="accent1"/>
      <w:sz w:val="17"/>
    </w:rPr>
  </w:style>
  <w:style w:type="character" w:styleId="Subtieleverwijzing">
    <w:name w:val="Subtle Reference"/>
    <w:basedOn w:val="Standaardalinea-lettertype"/>
    <w:uiPriority w:val="31"/>
    <w:semiHidden/>
    <w:rsid w:val="009147BF"/>
    <w:rPr>
      <w:smallCaps/>
      <w:color w:val="5A5A5A" w:themeColor="text1" w:themeTint="A5"/>
    </w:rPr>
  </w:style>
  <w:style w:type="character" w:styleId="Intensieveverwijzing">
    <w:name w:val="Intense Reference"/>
    <w:basedOn w:val="Standaardalinea-lettertype"/>
    <w:uiPriority w:val="32"/>
    <w:semiHidden/>
    <w:rsid w:val="009147BF"/>
    <w:rPr>
      <w:b/>
      <w:bCs/>
      <w:smallCaps/>
      <w:color w:val="5B9BD5" w:themeColor="accent1"/>
      <w:spacing w:val="5"/>
    </w:rPr>
  </w:style>
  <w:style w:type="character" w:styleId="Titelvanboek">
    <w:name w:val="Book Title"/>
    <w:basedOn w:val="Standaardalinea-lettertype"/>
    <w:uiPriority w:val="33"/>
    <w:semiHidden/>
    <w:rsid w:val="009147BF"/>
    <w:rPr>
      <w:b/>
      <w:bCs/>
      <w:i/>
      <w:iCs/>
      <w:spacing w:val="5"/>
    </w:rPr>
  </w:style>
  <w:style w:type="paragraph" w:styleId="Lijstalinea">
    <w:name w:val="List Paragraph"/>
    <w:basedOn w:val="Standaard"/>
    <w:link w:val="LijstalineaChar"/>
    <w:uiPriority w:val="34"/>
    <w:qFormat/>
    <w:rsid w:val="009147BF"/>
    <w:pPr>
      <w:ind w:left="720"/>
      <w:contextualSpacing/>
    </w:pPr>
  </w:style>
  <w:style w:type="paragraph" w:styleId="Geenafstand">
    <w:name w:val="No Spacing"/>
    <w:uiPriority w:val="1"/>
    <w:semiHidden/>
    <w:rsid w:val="004F785D"/>
    <w:pPr>
      <w:spacing w:after="0" w:line="240" w:lineRule="auto"/>
    </w:pPr>
  </w:style>
  <w:style w:type="character" w:customStyle="1" w:styleId="Kop3Char">
    <w:name w:val="Kop 3 Char"/>
    <w:basedOn w:val="Standaardalinea-lettertype"/>
    <w:link w:val="Kop3"/>
    <w:uiPriority w:val="1"/>
    <w:rsid w:val="001B6FB1"/>
    <w:rPr>
      <w:rFonts w:ascii="Verdana" w:eastAsiaTheme="majorEastAsia" w:hAnsi="Verdana" w:cstheme="majorBidi"/>
      <w:b/>
      <w:sz w:val="17"/>
      <w:szCs w:val="24"/>
    </w:rPr>
  </w:style>
  <w:style w:type="paragraph" w:styleId="Inhopg1">
    <w:name w:val="toc 1"/>
    <w:basedOn w:val="Standaard"/>
    <w:next w:val="Standaard"/>
    <w:autoRedefine/>
    <w:uiPriority w:val="39"/>
    <w:rsid w:val="00C071BA"/>
    <w:pPr>
      <w:tabs>
        <w:tab w:val="right" w:pos="7247"/>
      </w:tabs>
      <w:spacing w:before="227"/>
      <w:ind w:left="680" w:hanging="680"/>
    </w:pPr>
    <w:rPr>
      <w:b/>
      <w:sz w:val="22"/>
    </w:rPr>
  </w:style>
  <w:style w:type="paragraph" w:styleId="Inhopg2">
    <w:name w:val="toc 2"/>
    <w:basedOn w:val="Standaard"/>
    <w:next w:val="Standaard"/>
    <w:autoRedefine/>
    <w:uiPriority w:val="39"/>
    <w:rsid w:val="00276CD5"/>
    <w:pPr>
      <w:tabs>
        <w:tab w:val="right" w:pos="7247"/>
      </w:tabs>
      <w:ind w:left="680" w:hanging="680"/>
    </w:pPr>
  </w:style>
  <w:style w:type="paragraph" w:styleId="Inhopg3">
    <w:name w:val="toc 3"/>
    <w:basedOn w:val="Standaard"/>
    <w:next w:val="Standaard"/>
    <w:autoRedefine/>
    <w:uiPriority w:val="39"/>
    <w:rsid w:val="004E4835"/>
    <w:pPr>
      <w:tabs>
        <w:tab w:val="right" w:pos="7247"/>
      </w:tabs>
      <w:ind w:left="680" w:hanging="680"/>
    </w:pPr>
  </w:style>
  <w:style w:type="character" w:styleId="Hyperlink">
    <w:name w:val="Hyperlink"/>
    <w:basedOn w:val="Standaardalinea-lettertype"/>
    <w:uiPriority w:val="99"/>
    <w:unhideWhenUsed/>
    <w:rsid w:val="00C071BA"/>
    <w:rPr>
      <w:color w:val="0563C1" w:themeColor="hyperlink"/>
      <w:u w:val="single"/>
    </w:rPr>
  </w:style>
  <w:style w:type="table" w:styleId="Tabelraster">
    <w:name w:val="Table Grid"/>
    <w:basedOn w:val="Standaardtabe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A14848"/>
    <w:pPr>
      <w:spacing w:line="170" w:lineRule="atLeast"/>
    </w:pPr>
    <w:rPr>
      <w:sz w:val="14"/>
      <w:szCs w:val="20"/>
    </w:rPr>
  </w:style>
  <w:style w:type="character" w:customStyle="1" w:styleId="VoetnoottekstChar">
    <w:name w:val="Voetnoottekst Char"/>
    <w:basedOn w:val="Standaardalinea-lettertype"/>
    <w:link w:val="Voetnoottekst"/>
    <w:uiPriority w:val="99"/>
    <w:rsid w:val="00A14848"/>
    <w:rPr>
      <w:sz w:val="14"/>
      <w:szCs w:val="20"/>
    </w:rPr>
  </w:style>
  <w:style w:type="character" w:styleId="Voetnootmarkering">
    <w:name w:val="footnote reference"/>
    <w:basedOn w:val="Standaardalinea-lettertype"/>
    <w:uiPriority w:val="99"/>
    <w:semiHidden/>
    <w:unhideWhenUsed/>
    <w:rsid w:val="00E81517"/>
    <w:rPr>
      <w:vertAlign w:val="superscript"/>
    </w:rPr>
  </w:style>
  <w:style w:type="paragraph" w:customStyle="1" w:styleId="Toelichting">
    <w:name w:val="Toelichting"/>
    <w:basedOn w:val="Standaard"/>
    <w:next w:val="Standaard"/>
    <w:uiPriority w:val="1"/>
    <w:qFormat/>
    <w:rsid w:val="00A14848"/>
    <w:pPr>
      <w:spacing w:line="170" w:lineRule="atLeast"/>
    </w:pPr>
    <w:rPr>
      <w:sz w:val="14"/>
    </w:rPr>
  </w:style>
  <w:style w:type="paragraph" w:styleId="Ballontekst">
    <w:name w:val="Balloon Text"/>
    <w:basedOn w:val="Standaard"/>
    <w:link w:val="BallontekstChar"/>
    <w:uiPriority w:val="99"/>
    <w:semiHidden/>
    <w:unhideWhenUsed/>
    <w:rsid w:val="004E48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835"/>
    <w:rPr>
      <w:rFonts w:ascii="Tahoma" w:hAnsi="Tahoma" w:cs="Tahoma"/>
      <w:sz w:val="16"/>
      <w:szCs w:val="16"/>
    </w:rPr>
  </w:style>
  <w:style w:type="character" w:styleId="Verwijzingopmerking">
    <w:name w:val="annotation reference"/>
    <w:basedOn w:val="Standaardalinea-lettertype"/>
    <w:uiPriority w:val="99"/>
    <w:semiHidden/>
    <w:unhideWhenUsed/>
    <w:rsid w:val="00897D0D"/>
    <w:rPr>
      <w:sz w:val="16"/>
      <w:szCs w:val="16"/>
    </w:rPr>
  </w:style>
  <w:style w:type="paragraph" w:styleId="Tekstopmerking">
    <w:name w:val="annotation text"/>
    <w:basedOn w:val="Standaard"/>
    <w:link w:val="TekstopmerkingChar"/>
    <w:uiPriority w:val="99"/>
    <w:unhideWhenUsed/>
    <w:rsid w:val="00897D0D"/>
    <w:pPr>
      <w:spacing w:line="240" w:lineRule="auto"/>
    </w:pPr>
    <w:rPr>
      <w:sz w:val="20"/>
      <w:szCs w:val="20"/>
    </w:rPr>
  </w:style>
  <w:style w:type="character" w:customStyle="1" w:styleId="TekstopmerkingChar">
    <w:name w:val="Tekst opmerking Char"/>
    <w:basedOn w:val="Standaardalinea-lettertype"/>
    <w:link w:val="Tekstopmerking"/>
    <w:uiPriority w:val="99"/>
    <w:rsid w:val="00897D0D"/>
    <w:rPr>
      <w:sz w:val="20"/>
      <w:szCs w:val="20"/>
    </w:rPr>
  </w:style>
  <w:style w:type="character" w:customStyle="1" w:styleId="LijstalineaChar">
    <w:name w:val="Lijstalinea Char"/>
    <w:basedOn w:val="Standaardalinea-lettertype"/>
    <w:link w:val="Lijstalinea"/>
    <w:uiPriority w:val="34"/>
    <w:rsid w:val="0091459E"/>
  </w:style>
  <w:style w:type="paragraph" w:styleId="Onderwerpvanopmerking">
    <w:name w:val="annotation subject"/>
    <w:basedOn w:val="Tekstopmerking"/>
    <w:next w:val="Tekstopmerking"/>
    <w:link w:val="OnderwerpvanopmerkingChar"/>
    <w:uiPriority w:val="99"/>
    <w:semiHidden/>
    <w:unhideWhenUsed/>
    <w:rsid w:val="008216BB"/>
    <w:rPr>
      <w:b/>
      <w:bCs/>
    </w:rPr>
  </w:style>
  <w:style w:type="character" w:customStyle="1" w:styleId="OnderwerpvanopmerkingChar">
    <w:name w:val="Onderwerp van opmerking Char"/>
    <w:basedOn w:val="TekstopmerkingChar"/>
    <w:link w:val="Onderwerpvanopmerking"/>
    <w:uiPriority w:val="99"/>
    <w:semiHidden/>
    <w:rsid w:val="008216BB"/>
    <w:rPr>
      <w:b/>
      <w:bCs/>
      <w:sz w:val="20"/>
      <w:szCs w:val="20"/>
    </w:rPr>
  </w:style>
  <w:style w:type="paragraph" w:styleId="Revisie">
    <w:name w:val="Revision"/>
    <w:hidden/>
    <w:uiPriority w:val="99"/>
    <w:semiHidden/>
    <w:rsid w:val="00820824"/>
    <w:pPr>
      <w:spacing w:after="0" w:line="240" w:lineRule="auto"/>
    </w:pPr>
    <w:rPr>
      <w:szCs w:val="22"/>
    </w:rPr>
  </w:style>
  <w:style w:type="paragraph" w:styleId="Eindnoottekst">
    <w:name w:val="endnote text"/>
    <w:basedOn w:val="Standaard"/>
    <w:link w:val="EindnoottekstChar"/>
    <w:uiPriority w:val="99"/>
    <w:semiHidden/>
    <w:unhideWhenUsed/>
    <w:rsid w:val="00D2030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D2030F"/>
    <w:rPr>
      <w:sz w:val="20"/>
      <w:szCs w:val="20"/>
    </w:rPr>
  </w:style>
  <w:style w:type="character" w:styleId="Eindnootmarkering">
    <w:name w:val="endnote reference"/>
    <w:basedOn w:val="Standaardalinea-lettertype"/>
    <w:uiPriority w:val="99"/>
    <w:semiHidden/>
    <w:unhideWhenUsed/>
    <w:rsid w:val="00D2030F"/>
    <w:rPr>
      <w:vertAlign w:val="superscript"/>
    </w:rPr>
  </w:style>
  <w:style w:type="character" w:styleId="GevolgdeHyperlink">
    <w:name w:val="FollowedHyperlink"/>
    <w:basedOn w:val="Standaardalinea-lettertype"/>
    <w:uiPriority w:val="99"/>
    <w:semiHidden/>
    <w:unhideWhenUsed/>
    <w:rsid w:val="003A49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76">
      <w:bodyDiv w:val="1"/>
      <w:marLeft w:val="0"/>
      <w:marRight w:val="0"/>
      <w:marTop w:val="0"/>
      <w:marBottom w:val="0"/>
      <w:divBdr>
        <w:top w:val="none" w:sz="0" w:space="0" w:color="auto"/>
        <w:left w:val="none" w:sz="0" w:space="0" w:color="auto"/>
        <w:bottom w:val="none" w:sz="0" w:space="0" w:color="auto"/>
        <w:right w:val="none" w:sz="0" w:space="0" w:color="auto"/>
      </w:divBdr>
    </w:div>
    <w:div w:id="42795208">
      <w:bodyDiv w:val="1"/>
      <w:marLeft w:val="0"/>
      <w:marRight w:val="0"/>
      <w:marTop w:val="0"/>
      <w:marBottom w:val="0"/>
      <w:divBdr>
        <w:top w:val="none" w:sz="0" w:space="0" w:color="auto"/>
        <w:left w:val="none" w:sz="0" w:space="0" w:color="auto"/>
        <w:bottom w:val="none" w:sz="0" w:space="0" w:color="auto"/>
        <w:right w:val="none" w:sz="0" w:space="0" w:color="auto"/>
      </w:divBdr>
    </w:div>
    <w:div w:id="78017424">
      <w:bodyDiv w:val="1"/>
      <w:marLeft w:val="0"/>
      <w:marRight w:val="0"/>
      <w:marTop w:val="0"/>
      <w:marBottom w:val="0"/>
      <w:divBdr>
        <w:top w:val="none" w:sz="0" w:space="0" w:color="auto"/>
        <w:left w:val="none" w:sz="0" w:space="0" w:color="auto"/>
        <w:bottom w:val="none" w:sz="0" w:space="0" w:color="auto"/>
        <w:right w:val="none" w:sz="0" w:space="0" w:color="auto"/>
      </w:divBdr>
      <w:divsChild>
        <w:div w:id="908465117">
          <w:marLeft w:val="547"/>
          <w:marRight w:val="0"/>
          <w:marTop w:val="0"/>
          <w:marBottom w:val="0"/>
          <w:divBdr>
            <w:top w:val="none" w:sz="0" w:space="0" w:color="auto"/>
            <w:left w:val="none" w:sz="0" w:space="0" w:color="auto"/>
            <w:bottom w:val="none" w:sz="0" w:space="0" w:color="auto"/>
            <w:right w:val="none" w:sz="0" w:space="0" w:color="auto"/>
          </w:divBdr>
        </w:div>
      </w:divsChild>
    </w:div>
    <w:div w:id="289946856">
      <w:bodyDiv w:val="1"/>
      <w:marLeft w:val="0"/>
      <w:marRight w:val="0"/>
      <w:marTop w:val="0"/>
      <w:marBottom w:val="0"/>
      <w:divBdr>
        <w:top w:val="none" w:sz="0" w:space="0" w:color="auto"/>
        <w:left w:val="none" w:sz="0" w:space="0" w:color="auto"/>
        <w:bottom w:val="none" w:sz="0" w:space="0" w:color="auto"/>
        <w:right w:val="none" w:sz="0" w:space="0" w:color="auto"/>
      </w:divBdr>
    </w:div>
    <w:div w:id="362678959">
      <w:bodyDiv w:val="1"/>
      <w:marLeft w:val="0"/>
      <w:marRight w:val="0"/>
      <w:marTop w:val="0"/>
      <w:marBottom w:val="0"/>
      <w:divBdr>
        <w:top w:val="none" w:sz="0" w:space="0" w:color="auto"/>
        <w:left w:val="none" w:sz="0" w:space="0" w:color="auto"/>
        <w:bottom w:val="none" w:sz="0" w:space="0" w:color="auto"/>
        <w:right w:val="none" w:sz="0" w:space="0" w:color="auto"/>
      </w:divBdr>
    </w:div>
    <w:div w:id="428548903">
      <w:bodyDiv w:val="1"/>
      <w:marLeft w:val="0"/>
      <w:marRight w:val="0"/>
      <w:marTop w:val="0"/>
      <w:marBottom w:val="0"/>
      <w:divBdr>
        <w:top w:val="none" w:sz="0" w:space="0" w:color="auto"/>
        <w:left w:val="none" w:sz="0" w:space="0" w:color="auto"/>
        <w:bottom w:val="none" w:sz="0" w:space="0" w:color="auto"/>
        <w:right w:val="none" w:sz="0" w:space="0" w:color="auto"/>
      </w:divBdr>
    </w:div>
    <w:div w:id="516846051">
      <w:bodyDiv w:val="1"/>
      <w:marLeft w:val="0"/>
      <w:marRight w:val="0"/>
      <w:marTop w:val="0"/>
      <w:marBottom w:val="0"/>
      <w:divBdr>
        <w:top w:val="none" w:sz="0" w:space="0" w:color="auto"/>
        <w:left w:val="none" w:sz="0" w:space="0" w:color="auto"/>
        <w:bottom w:val="none" w:sz="0" w:space="0" w:color="auto"/>
        <w:right w:val="none" w:sz="0" w:space="0" w:color="auto"/>
      </w:divBdr>
    </w:div>
    <w:div w:id="565073827">
      <w:bodyDiv w:val="1"/>
      <w:marLeft w:val="300"/>
      <w:marRight w:val="0"/>
      <w:marTop w:val="0"/>
      <w:marBottom w:val="0"/>
      <w:divBdr>
        <w:top w:val="none" w:sz="0" w:space="0" w:color="auto"/>
        <w:left w:val="none" w:sz="0" w:space="0" w:color="auto"/>
        <w:bottom w:val="none" w:sz="0" w:space="0" w:color="auto"/>
        <w:right w:val="none" w:sz="0" w:space="0" w:color="auto"/>
      </w:divBdr>
      <w:divsChild>
        <w:div w:id="558175985">
          <w:marLeft w:val="0"/>
          <w:marRight w:val="0"/>
          <w:marTop w:val="0"/>
          <w:marBottom w:val="0"/>
          <w:divBdr>
            <w:top w:val="none" w:sz="0" w:space="0" w:color="auto"/>
            <w:left w:val="none" w:sz="0" w:space="0" w:color="auto"/>
            <w:bottom w:val="none" w:sz="0" w:space="0" w:color="auto"/>
            <w:right w:val="none" w:sz="0" w:space="0" w:color="auto"/>
          </w:divBdr>
          <w:divsChild>
            <w:div w:id="1984844410">
              <w:marLeft w:val="0"/>
              <w:marRight w:val="0"/>
              <w:marTop w:val="0"/>
              <w:marBottom w:val="0"/>
              <w:divBdr>
                <w:top w:val="none" w:sz="0" w:space="0" w:color="auto"/>
                <w:left w:val="none" w:sz="0" w:space="0" w:color="auto"/>
                <w:bottom w:val="none" w:sz="0" w:space="0" w:color="auto"/>
                <w:right w:val="none" w:sz="0" w:space="0" w:color="auto"/>
              </w:divBdr>
              <w:divsChild>
                <w:div w:id="1512375539">
                  <w:marLeft w:val="0"/>
                  <w:marRight w:val="0"/>
                  <w:marTop w:val="0"/>
                  <w:marBottom w:val="0"/>
                  <w:divBdr>
                    <w:top w:val="none" w:sz="0" w:space="0" w:color="auto"/>
                    <w:left w:val="none" w:sz="0" w:space="0" w:color="auto"/>
                    <w:bottom w:val="none" w:sz="0" w:space="0" w:color="auto"/>
                    <w:right w:val="none" w:sz="0" w:space="0" w:color="auto"/>
                  </w:divBdr>
                  <w:divsChild>
                    <w:div w:id="1815295008">
                      <w:marLeft w:val="0"/>
                      <w:marRight w:val="0"/>
                      <w:marTop w:val="0"/>
                      <w:marBottom w:val="0"/>
                      <w:divBdr>
                        <w:top w:val="none" w:sz="0" w:space="0" w:color="auto"/>
                        <w:left w:val="none" w:sz="0" w:space="0" w:color="auto"/>
                        <w:bottom w:val="none" w:sz="0" w:space="0" w:color="auto"/>
                        <w:right w:val="none" w:sz="0" w:space="0" w:color="auto"/>
                      </w:divBdr>
                      <w:divsChild>
                        <w:div w:id="1608734268">
                          <w:marLeft w:val="0"/>
                          <w:marRight w:val="0"/>
                          <w:marTop w:val="0"/>
                          <w:marBottom w:val="0"/>
                          <w:divBdr>
                            <w:top w:val="none" w:sz="0" w:space="0" w:color="auto"/>
                            <w:left w:val="none" w:sz="0" w:space="0" w:color="auto"/>
                            <w:bottom w:val="none" w:sz="0" w:space="0" w:color="auto"/>
                            <w:right w:val="none" w:sz="0" w:space="0" w:color="auto"/>
                          </w:divBdr>
                          <w:divsChild>
                            <w:div w:id="14252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300077">
      <w:bodyDiv w:val="1"/>
      <w:marLeft w:val="0"/>
      <w:marRight w:val="0"/>
      <w:marTop w:val="0"/>
      <w:marBottom w:val="0"/>
      <w:divBdr>
        <w:top w:val="none" w:sz="0" w:space="0" w:color="auto"/>
        <w:left w:val="none" w:sz="0" w:space="0" w:color="auto"/>
        <w:bottom w:val="none" w:sz="0" w:space="0" w:color="auto"/>
        <w:right w:val="none" w:sz="0" w:space="0" w:color="auto"/>
      </w:divBdr>
    </w:div>
    <w:div w:id="661199622">
      <w:bodyDiv w:val="1"/>
      <w:marLeft w:val="0"/>
      <w:marRight w:val="0"/>
      <w:marTop w:val="0"/>
      <w:marBottom w:val="0"/>
      <w:divBdr>
        <w:top w:val="none" w:sz="0" w:space="0" w:color="auto"/>
        <w:left w:val="none" w:sz="0" w:space="0" w:color="auto"/>
        <w:bottom w:val="none" w:sz="0" w:space="0" w:color="auto"/>
        <w:right w:val="none" w:sz="0" w:space="0" w:color="auto"/>
      </w:divBdr>
      <w:divsChild>
        <w:div w:id="1941595411">
          <w:marLeft w:val="547"/>
          <w:marRight w:val="0"/>
          <w:marTop w:val="0"/>
          <w:marBottom w:val="0"/>
          <w:divBdr>
            <w:top w:val="none" w:sz="0" w:space="0" w:color="auto"/>
            <w:left w:val="none" w:sz="0" w:space="0" w:color="auto"/>
            <w:bottom w:val="none" w:sz="0" w:space="0" w:color="auto"/>
            <w:right w:val="none" w:sz="0" w:space="0" w:color="auto"/>
          </w:divBdr>
        </w:div>
        <w:div w:id="1025407897">
          <w:marLeft w:val="547"/>
          <w:marRight w:val="0"/>
          <w:marTop w:val="0"/>
          <w:marBottom w:val="0"/>
          <w:divBdr>
            <w:top w:val="none" w:sz="0" w:space="0" w:color="auto"/>
            <w:left w:val="none" w:sz="0" w:space="0" w:color="auto"/>
            <w:bottom w:val="none" w:sz="0" w:space="0" w:color="auto"/>
            <w:right w:val="none" w:sz="0" w:space="0" w:color="auto"/>
          </w:divBdr>
        </w:div>
        <w:div w:id="1514413389">
          <w:marLeft w:val="547"/>
          <w:marRight w:val="0"/>
          <w:marTop w:val="0"/>
          <w:marBottom w:val="0"/>
          <w:divBdr>
            <w:top w:val="none" w:sz="0" w:space="0" w:color="auto"/>
            <w:left w:val="none" w:sz="0" w:space="0" w:color="auto"/>
            <w:bottom w:val="none" w:sz="0" w:space="0" w:color="auto"/>
            <w:right w:val="none" w:sz="0" w:space="0" w:color="auto"/>
          </w:divBdr>
        </w:div>
      </w:divsChild>
    </w:div>
    <w:div w:id="665130152">
      <w:bodyDiv w:val="1"/>
      <w:marLeft w:val="0"/>
      <w:marRight w:val="0"/>
      <w:marTop w:val="0"/>
      <w:marBottom w:val="0"/>
      <w:divBdr>
        <w:top w:val="none" w:sz="0" w:space="0" w:color="auto"/>
        <w:left w:val="none" w:sz="0" w:space="0" w:color="auto"/>
        <w:bottom w:val="none" w:sz="0" w:space="0" w:color="auto"/>
        <w:right w:val="none" w:sz="0" w:space="0" w:color="auto"/>
      </w:divBdr>
      <w:divsChild>
        <w:div w:id="277682705">
          <w:marLeft w:val="547"/>
          <w:marRight w:val="0"/>
          <w:marTop w:val="0"/>
          <w:marBottom w:val="0"/>
          <w:divBdr>
            <w:top w:val="none" w:sz="0" w:space="0" w:color="auto"/>
            <w:left w:val="none" w:sz="0" w:space="0" w:color="auto"/>
            <w:bottom w:val="none" w:sz="0" w:space="0" w:color="auto"/>
            <w:right w:val="none" w:sz="0" w:space="0" w:color="auto"/>
          </w:divBdr>
        </w:div>
        <w:div w:id="569313545">
          <w:marLeft w:val="547"/>
          <w:marRight w:val="0"/>
          <w:marTop w:val="0"/>
          <w:marBottom w:val="0"/>
          <w:divBdr>
            <w:top w:val="none" w:sz="0" w:space="0" w:color="auto"/>
            <w:left w:val="none" w:sz="0" w:space="0" w:color="auto"/>
            <w:bottom w:val="none" w:sz="0" w:space="0" w:color="auto"/>
            <w:right w:val="none" w:sz="0" w:space="0" w:color="auto"/>
          </w:divBdr>
        </w:div>
      </w:divsChild>
    </w:div>
    <w:div w:id="795441923">
      <w:bodyDiv w:val="1"/>
      <w:marLeft w:val="0"/>
      <w:marRight w:val="0"/>
      <w:marTop w:val="0"/>
      <w:marBottom w:val="0"/>
      <w:divBdr>
        <w:top w:val="none" w:sz="0" w:space="0" w:color="auto"/>
        <w:left w:val="none" w:sz="0" w:space="0" w:color="auto"/>
        <w:bottom w:val="none" w:sz="0" w:space="0" w:color="auto"/>
        <w:right w:val="none" w:sz="0" w:space="0" w:color="auto"/>
      </w:divBdr>
      <w:divsChild>
        <w:div w:id="631449954">
          <w:marLeft w:val="547"/>
          <w:marRight w:val="0"/>
          <w:marTop w:val="0"/>
          <w:marBottom w:val="0"/>
          <w:divBdr>
            <w:top w:val="none" w:sz="0" w:space="0" w:color="auto"/>
            <w:left w:val="none" w:sz="0" w:space="0" w:color="auto"/>
            <w:bottom w:val="none" w:sz="0" w:space="0" w:color="auto"/>
            <w:right w:val="none" w:sz="0" w:space="0" w:color="auto"/>
          </w:divBdr>
        </w:div>
      </w:divsChild>
    </w:div>
    <w:div w:id="1017853768">
      <w:bodyDiv w:val="1"/>
      <w:marLeft w:val="0"/>
      <w:marRight w:val="0"/>
      <w:marTop w:val="0"/>
      <w:marBottom w:val="0"/>
      <w:divBdr>
        <w:top w:val="none" w:sz="0" w:space="0" w:color="auto"/>
        <w:left w:val="none" w:sz="0" w:space="0" w:color="auto"/>
        <w:bottom w:val="none" w:sz="0" w:space="0" w:color="auto"/>
        <w:right w:val="none" w:sz="0" w:space="0" w:color="auto"/>
      </w:divBdr>
    </w:div>
    <w:div w:id="1056734244">
      <w:bodyDiv w:val="1"/>
      <w:marLeft w:val="0"/>
      <w:marRight w:val="0"/>
      <w:marTop w:val="0"/>
      <w:marBottom w:val="0"/>
      <w:divBdr>
        <w:top w:val="none" w:sz="0" w:space="0" w:color="auto"/>
        <w:left w:val="none" w:sz="0" w:space="0" w:color="auto"/>
        <w:bottom w:val="none" w:sz="0" w:space="0" w:color="auto"/>
        <w:right w:val="none" w:sz="0" w:space="0" w:color="auto"/>
      </w:divBdr>
    </w:div>
    <w:div w:id="1134328828">
      <w:bodyDiv w:val="1"/>
      <w:marLeft w:val="0"/>
      <w:marRight w:val="0"/>
      <w:marTop w:val="0"/>
      <w:marBottom w:val="0"/>
      <w:divBdr>
        <w:top w:val="none" w:sz="0" w:space="0" w:color="auto"/>
        <w:left w:val="none" w:sz="0" w:space="0" w:color="auto"/>
        <w:bottom w:val="none" w:sz="0" w:space="0" w:color="auto"/>
        <w:right w:val="none" w:sz="0" w:space="0" w:color="auto"/>
      </w:divBdr>
      <w:divsChild>
        <w:div w:id="487287738">
          <w:marLeft w:val="547"/>
          <w:marRight w:val="0"/>
          <w:marTop w:val="0"/>
          <w:marBottom w:val="0"/>
          <w:divBdr>
            <w:top w:val="none" w:sz="0" w:space="0" w:color="auto"/>
            <w:left w:val="none" w:sz="0" w:space="0" w:color="auto"/>
            <w:bottom w:val="none" w:sz="0" w:space="0" w:color="auto"/>
            <w:right w:val="none" w:sz="0" w:space="0" w:color="auto"/>
          </w:divBdr>
        </w:div>
        <w:div w:id="1757288623">
          <w:marLeft w:val="547"/>
          <w:marRight w:val="0"/>
          <w:marTop w:val="0"/>
          <w:marBottom w:val="0"/>
          <w:divBdr>
            <w:top w:val="none" w:sz="0" w:space="0" w:color="auto"/>
            <w:left w:val="none" w:sz="0" w:space="0" w:color="auto"/>
            <w:bottom w:val="none" w:sz="0" w:space="0" w:color="auto"/>
            <w:right w:val="none" w:sz="0" w:space="0" w:color="auto"/>
          </w:divBdr>
        </w:div>
        <w:div w:id="1621958480">
          <w:marLeft w:val="547"/>
          <w:marRight w:val="0"/>
          <w:marTop w:val="0"/>
          <w:marBottom w:val="0"/>
          <w:divBdr>
            <w:top w:val="none" w:sz="0" w:space="0" w:color="auto"/>
            <w:left w:val="none" w:sz="0" w:space="0" w:color="auto"/>
            <w:bottom w:val="none" w:sz="0" w:space="0" w:color="auto"/>
            <w:right w:val="none" w:sz="0" w:space="0" w:color="auto"/>
          </w:divBdr>
        </w:div>
      </w:divsChild>
    </w:div>
    <w:div w:id="1171020315">
      <w:bodyDiv w:val="1"/>
      <w:marLeft w:val="0"/>
      <w:marRight w:val="0"/>
      <w:marTop w:val="0"/>
      <w:marBottom w:val="0"/>
      <w:divBdr>
        <w:top w:val="none" w:sz="0" w:space="0" w:color="auto"/>
        <w:left w:val="none" w:sz="0" w:space="0" w:color="auto"/>
        <w:bottom w:val="none" w:sz="0" w:space="0" w:color="auto"/>
        <w:right w:val="none" w:sz="0" w:space="0" w:color="auto"/>
      </w:divBdr>
      <w:divsChild>
        <w:div w:id="712850311">
          <w:marLeft w:val="274"/>
          <w:marRight w:val="0"/>
          <w:marTop w:val="0"/>
          <w:marBottom w:val="0"/>
          <w:divBdr>
            <w:top w:val="none" w:sz="0" w:space="0" w:color="auto"/>
            <w:left w:val="none" w:sz="0" w:space="0" w:color="auto"/>
            <w:bottom w:val="none" w:sz="0" w:space="0" w:color="auto"/>
            <w:right w:val="none" w:sz="0" w:space="0" w:color="auto"/>
          </w:divBdr>
        </w:div>
        <w:div w:id="268199793">
          <w:marLeft w:val="274"/>
          <w:marRight w:val="0"/>
          <w:marTop w:val="0"/>
          <w:marBottom w:val="0"/>
          <w:divBdr>
            <w:top w:val="none" w:sz="0" w:space="0" w:color="auto"/>
            <w:left w:val="none" w:sz="0" w:space="0" w:color="auto"/>
            <w:bottom w:val="none" w:sz="0" w:space="0" w:color="auto"/>
            <w:right w:val="none" w:sz="0" w:space="0" w:color="auto"/>
          </w:divBdr>
        </w:div>
        <w:div w:id="1395741839">
          <w:marLeft w:val="274"/>
          <w:marRight w:val="0"/>
          <w:marTop w:val="0"/>
          <w:marBottom w:val="0"/>
          <w:divBdr>
            <w:top w:val="none" w:sz="0" w:space="0" w:color="auto"/>
            <w:left w:val="none" w:sz="0" w:space="0" w:color="auto"/>
            <w:bottom w:val="none" w:sz="0" w:space="0" w:color="auto"/>
            <w:right w:val="none" w:sz="0" w:space="0" w:color="auto"/>
          </w:divBdr>
        </w:div>
        <w:div w:id="1419863480">
          <w:marLeft w:val="274"/>
          <w:marRight w:val="0"/>
          <w:marTop w:val="0"/>
          <w:marBottom w:val="0"/>
          <w:divBdr>
            <w:top w:val="none" w:sz="0" w:space="0" w:color="auto"/>
            <w:left w:val="none" w:sz="0" w:space="0" w:color="auto"/>
            <w:bottom w:val="none" w:sz="0" w:space="0" w:color="auto"/>
            <w:right w:val="none" w:sz="0" w:space="0" w:color="auto"/>
          </w:divBdr>
        </w:div>
        <w:div w:id="1298027584">
          <w:marLeft w:val="274"/>
          <w:marRight w:val="0"/>
          <w:marTop w:val="0"/>
          <w:marBottom w:val="0"/>
          <w:divBdr>
            <w:top w:val="none" w:sz="0" w:space="0" w:color="auto"/>
            <w:left w:val="none" w:sz="0" w:space="0" w:color="auto"/>
            <w:bottom w:val="none" w:sz="0" w:space="0" w:color="auto"/>
            <w:right w:val="none" w:sz="0" w:space="0" w:color="auto"/>
          </w:divBdr>
        </w:div>
        <w:div w:id="1140655868">
          <w:marLeft w:val="274"/>
          <w:marRight w:val="0"/>
          <w:marTop w:val="0"/>
          <w:marBottom w:val="0"/>
          <w:divBdr>
            <w:top w:val="none" w:sz="0" w:space="0" w:color="auto"/>
            <w:left w:val="none" w:sz="0" w:space="0" w:color="auto"/>
            <w:bottom w:val="none" w:sz="0" w:space="0" w:color="auto"/>
            <w:right w:val="none" w:sz="0" w:space="0" w:color="auto"/>
          </w:divBdr>
        </w:div>
        <w:div w:id="86930710">
          <w:marLeft w:val="274"/>
          <w:marRight w:val="0"/>
          <w:marTop w:val="0"/>
          <w:marBottom w:val="0"/>
          <w:divBdr>
            <w:top w:val="none" w:sz="0" w:space="0" w:color="auto"/>
            <w:left w:val="none" w:sz="0" w:space="0" w:color="auto"/>
            <w:bottom w:val="none" w:sz="0" w:space="0" w:color="auto"/>
            <w:right w:val="none" w:sz="0" w:space="0" w:color="auto"/>
          </w:divBdr>
        </w:div>
        <w:div w:id="1875457196">
          <w:marLeft w:val="274"/>
          <w:marRight w:val="0"/>
          <w:marTop w:val="0"/>
          <w:marBottom w:val="0"/>
          <w:divBdr>
            <w:top w:val="none" w:sz="0" w:space="0" w:color="auto"/>
            <w:left w:val="none" w:sz="0" w:space="0" w:color="auto"/>
            <w:bottom w:val="none" w:sz="0" w:space="0" w:color="auto"/>
            <w:right w:val="none" w:sz="0" w:space="0" w:color="auto"/>
          </w:divBdr>
        </w:div>
        <w:div w:id="1339884732">
          <w:marLeft w:val="274"/>
          <w:marRight w:val="0"/>
          <w:marTop w:val="0"/>
          <w:marBottom w:val="0"/>
          <w:divBdr>
            <w:top w:val="none" w:sz="0" w:space="0" w:color="auto"/>
            <w:left w:val="none" w:sz="0" w:space="0" w:color="auto"/>
            <w:bottom w:val="none" w:sz="0" w:space="0" w:color="auto"/>
            <w:right w:val="none" w:sz="0" w:space="0" w:color="auto"/>
          </w:divBdr>
        </w:div>
        <w:div w:id="1081289462">
          <w:marLeft w:val="274"/>
          <w:marRight w:val="0"/>
          <w:marTop w:val="0"/>
          <w:marBottom w:val="0"/>
          <w:divBdr>
            <w:top w:val="none" w:sz="0" w:space="0" w:color="auto"/>
            <w:left w:val="none" w:sz="0" w:space="0" w:color="auto"/>
            <w:bottom w:val="none" w:sz="0" w:space="0" w:color="auto"/>
            <w:right w:val="none" w:sz="0" w:space="0" w:color="auto"/>
          </w:divBdr>
        </w:div>
        <w:div w:id="246808839">
          <w:marLeft w:val="274"/>
          <w:marRight w:val="0"/>
          <w:marTop w:val="0"/>
          <w:marBottom w:val="0"/>
          <w:divBdr>
            <w:top w:val="none" w:sz="0" w:space="0" w:color="auto"/>
            <w:left w:val="none" w:sz="0" w:space="0" w:color="auto"/>
            <w:bottom w:val="none" w:sz="0" w:space="0" w:color="auto"/>
            <w:right w:val="none" w:sz="0" w:space="0" w:color="auto"/>
          </w:divBdr>
        </w:div>
        <w:div w:id="659116746">
          <w:marLeft w:val="274"/>
          <w:marRight w:val="0"/>
          <w:marTop w:val="0"/>
          <w:marBottom w:val="0"/>
          <w:divBdr>
            <w:top w:val="none" w:sz="0" w:space="0" w:color="auto"/>
            <w:left w:val="none" w:sz="0" w:space="0" w:color="auto"/>
            <w:bottom w:val="none" w:sz="0" w:space="0" w:color="auto"/>
            <w:right w:val="none" w:sz="0" w:space="0" w:color="auto"/>
          </w:divBdr>
        </w:div>
        <w:div w:id="2069263700">
          <w:marLeft w:val="274"/>
          <w:marRight w:val="0"/>
          <w:marTop w:val="0"/>
          <w:marBottom w:val="0"/>
          <w:divBdr>
            <w:top w:val="none" w:sz="0" w:space="0" w:color="auto"/>
            <w:left w:val="none" w:sz="0" w:space="0" w:color="auto"/>
            <w:bottom w:val="none" w:sz="0" w:space="0" w:color="auto"/>
            <w:right w:val="none" w:sz="0" w:space="0" w:color="auto"/>
          </w:divBdr>
        </w:div>
        <w:div w:id="1099988500">
          <w:marLeft w:val="274"/>
          <w:marRight w:val="0"/>
          <w:marTop w:val="0"/>
          <w:marBottom w:val="0"/>
          <w:divBdr>
            <w:top w:val="none" w:sz="0" w:space="0" w:color="auto"/>
            <w:left w:val="none" w:sz="0" w:space="0" w:color="auto"/>
            <w:bottom w:val="none" w:sz="0" w:space="0" w:color="auto"/>
            <w:right w:val="none" w:sz="0" w:space="0" w:color="auto"/>
          </w:divBdr>
        </w:div>
        <w:div w:id="2098666788">
          <w:marLeft w:val="274"/>
          <w:marRight w:val="0"/>
          <w:marTop w:val="0"/>
          <w:marBottom w:val="0"/>
          <w:divBdr>
            <w:top w:val="none" w:sz="0" w:space="0" w:color="auto"/>
            <w:left w:val="none" w:sz="0" w:space="0" w:color="auto"/>
            <w:bottom w:val="none" w:sz="0" w:space="0" w:color="auto"/>
            <w:right w:val="none" w:sz="0" w:space="0" w:color="auto"/>
          </w:divBdr>
        </w:div>
        <w:div w:id="438722584">
          <w:marLeft w:val="274"/>
          <w:marRight w:val="0"/>
          <w:marTop w:val="0"/>
          <w:marBottom w:val="0"/>
          <w:divBdr>
            <w:top w:val="none" w:sz="0" w:space="0" w:color="auto"/>
            <w:left w:val="none" w:sz="0" w:space="0" w:color="auto"/>
            <w:bottom w:val="none" w:sz="0" w:space="0" w:color="auto"/>
            <w:right w:val="none" w:sz="0" w:space="0" w:color="auto"/>
          </w:divBdr>
        </w:div>
        <w:div w:id="308485603">
          <w:marLeft w:val="274"/>
          <w:marRight w:val="0"/>
          <w:marTop w:val="0"/>
          <w:marBottom w:val="0"/>
          <w:divBdr>
            <w:top w:val="none" w:sz="0" w:space="0" w:color="auto"/>
            <w:left w:val="none" w:sz="0" w:space="0" w:color="auto"/>
            <w:bottom w:val="none" w:sz="0" w:space="0" w:color="auto"/>
            <w:right w:val="none" w:sz="0" w:space="0" w:color="auto"/>
          </w:divBdr>
        </w:div>
        <w:div w:id="1079517422">
          <w:marLeft w:val="274"/>
          <w:marRight w:val="0"/>
          <w:marTop w:val="0"/>
          <w:marBottom w:val="0"/>
          <w:divBdr>
            <w:top w:val="none" w:sz="0" w:space="0" w:color="auto"/>
            <w:left w:val="none" w:sz="0" w:space="0" w:color="auto"/>
            <w:bottom w:val="none" w:sz="0" w:space="0" w:color="auto"/>
            <w:right w:val="none" w:sz="0" w:space="0" w:color="auto"/>
          </w:divBdr>
        </w:div>
        <w:div w:id="1192113150">
          <w:marLeft w:val="274"/>
          <w:marRight w:val="0"/>
          <w:marTop w:val="0"/>
          <w:marBottom w:val="0"/>
          <w:divBdr>
            <w:top w:val="none" w:sz="0" w:space="0" w:color="auto"/>
            <w:left w:val="none" w:sz="0" w:space="0" w:color="auto"/>
            <w:bottom w:val="none" w:sz="0" w:space="0" w:color="auto"/>
            <w:right w:val="none" w:sz="0" w:space="0" w:color="auto"/>
          </w:divBdr>
        </w:div>
        <w:div w:id="195780213">
          <w:marLeft w:val="274"/>
          <w:marRight w:val="0"/>
          <w:marTop w:val="0"/>
          <w:marBottom w:val="0"/>
          <w:divBdr>
            <w:top w:val="none" w:sz="0" w:space="0" w:color="auto"/>
            <w:left w:val="none" w:sz="0" w:space="0" w:color="auto"/>
            <w:bottom w:val="none" w:sz="0" w:space="0" w:color="auto"/>
            <w:right w:val="none" w:sz="0" w:space="0" w:color="auto"/>
          </w:divBdr>
        </w:div>
        <w:div w:id="1611551538">
          <w:marLeft w:val="274"/>
          <w:marRight w:val="0"/>
          <w:marTop w:val="0"/>
          <w:marBottom w:val="0"/>
          <w:divBdr>
            <w:top w:val="none" w:sz="0" w:space="0" w:color="auto"/>
            <w:left w:val="none" w:sz="0" w:space="0" w:color="auto"/>
            <w:bottom w:val="none" w:sz="0" w:space="0" w:color="auto"/>
            <w:right w:val="none" w:sz="0" w:space="0" w:color="auto"/>
          </w:divBdr>
        </w:div>
        <w:div w:id="1530487917">
          <w:marLeft w:val="274"/>
          <w:marRight w:val="0"/>
          <w:marTop w:val="0"/>
          <w:marBottom w:val="0"/>
          <w:divBdr>
            <w:top w:val="none" w:sz="0" w:space="0" w:color="auto"/>
            <w:left w:val="none" w:sz="0" w:space="0" w:color="auto"/>
            <w:bottom w:val="none" w:sz="0" w:space="0" w:color="auto"/>
            <w:right w:val="none" w:sz="0" w:space="0" w:color="auto"/>
          </w:divBdr>
        </w:div>
        <w:div w:id="1243418369">
          <w:marLeft w:val="274"/>
          <w:marRight w:val="0"/>
          <w:marTop w:val="0"/>
          <w:marBottom w:val="0"/>
          <w:divBdr>
            <w:top w:val="none" w:sz="0" w:space="0" w:color="auto"/>
            <w:left w:val="none" w:sz="0" w:space="0" w:color="auto"/>
            <w:bottom w:val="none" w:sz="0" w:space="0" w:color="auto"/>
            <w:right w:val="none" w:sz="0" w:space="0" w:color="auto"/>
          </w:divBdr>
        </w:div>
        <w:div w:id="655646501">
          <w:marLeft w:val="274"/>
          <w:marRight w:val="0"/>
          <w:marTop w:val="0"/>
          <w:marBottom w:val="0"/>
          <w:divBdr>
            <w:top w:val="none" w:sz="0" w:space="0" w:color="auto"/>
            <w:left w:val="none" w:sz="0" w:space="0" w:color="auto"/>
            <w:bottom w:val="none" w:sz="0" w:space="0" w:color="auto"/>
            <w:right w:val="none" w:sz="0" w:space="0" w:color="auto"/>
          </w:divBdr>
        </w:div>
        <w:div w:id="100295965">
          <w:marLeft w:val="274"/>
          <w:marRight w:val="0"/>
          <w:marTop w:val="0"/>
          <w:marBottom w:val="0"/>
          <w:divBdr>
            <w:top w:val="none" w:sz="0" w:space="0" w:color="auto"/>
            <w:left w:val="none" w:sz="0" w:space="0" w:color="auto"/>
            <w:bottom w:val="none" w:sz="0" w:space="0" w:color="auto"/>
            <w:right w:val="none" w:sz="0" w:space="0" w:color="auto"/>
          </w:divBdr>
        </w:div>
        <w:div w:id="259678980">
          <w:marLeft w:val="274"/>
          <w:marRight w:val="0"/>
          <w:marTop w:val="0"/>
          <w:marBottom w:val="0"/>
          <w:divBdr>
            <w:top w:val="none" w:sz="0" w:space="0" w:color="auto"/>
            <w:left w:val="none" w:sz="0" w:space="0" w:color="auto"/>
            <w:bottom w:val="none" w:sz="0" w:space="0" w:color="auto"/>
            <w:right w:val="none" w:sz="0" w:space="0" w:color="auto"/>
          </w:divBdr>
        </w:div>
        <w:div w:id="355156763">
          <w:marLeft w:val="274"/>
          <w:marRight w:val="0"/>
          <w:marTop w:val="0"/>
          <w:marBottom w:val="0"/>
          <w:divBdr>
            <w:top w:val="none" w:sz="0" w:space="0" w:color="auto"/>
            <w:left w:val="none" w:sz="0" w:space="0" w:color="auto"/>
            <w:bottom w:val="none" w:sz="0" w:space="0" w:color="auto"/>
            <w:right w:val="none" w:sz="0" w:space="0" w:color="auto"/>
          </w:divBdr>
        </w:div>
        <w:div w:id="410472877">
          <w:marLeft w:val="274"/>
          <w:marRight w:val="0"/>
          <w:marTop w:val="0"/>
          <w:marBottom w:val="0"/>
          <w:divBdr>
            <w:top w:val="none" w:sz="0" w:space="0" w:color="auto"/>
            <w:left w:val="none" w:sz="0" w:space="0" w:color="auto"/>
            <w:bottom w:val="none" w:sz="0" w:space="0" w:color="auto"/>
            <w:right w:val="none" w:sz="0" w:space="0" w:color="auto"/>
          </w:divBdr>
        </w:div>
        <w:div w:id="707141766">
          <w:marLeft w:val="274"/>
          <w:marRight w:val="0"/>
          <w:marTop w:val="0"/>
          <w:marBottom w:val="0"/>
          <w:divBdr>
            <w:top w:val="none" w:sz="0" w:space="0" w:color="auto"/>
            <w:left w:val="none" w:sz="0" w:space="0" w:color="auto"/>
            <w:bottom w:val="none" w:sz="0" w:space="0" w:color="auto"/>
            <w:right w:val="none" w:sz="0" w:space="0" w:color="auto"/>
          </w:divBdr>
        </w:div>
        <w:div w:id="391392014">
          <w:marLeft w:val="274"/>
          <w:marRight w:val="0"/>
          <w:marTop w:val="0"/>
          <w:marBottom w:val="0"/>
          <w:divBdr>
            <w:top w:val="none" w:sz="0" w:space="0" w:color="auto"/>
            <w:left w:val="none" w:sz="0" w:space="0" w:color="auto"/>
            <w:bottom w:val="none" w:sz="0" w:space="0" w:color="auto"/>
            <w:right w:val="none" w:sz="0" w:space="0" w:color="auto"/>
          </w:divBdr>
        </w:div>
        <w:div w:id="368918892">
          <w:marLeft w:val="274"/>
          <w:marRight w:val="0"/>
          <w:marTop w:val="0"/>
          <w:marBottom w:val="0"/>
          <w:divBdr>
            <w:top w:val="none" w:sz="0" w:space="0" w:color="auto"/>
            <w:left w:val="none" w:sz="0" w:space="0" w:color="auto"/>
            <w:bottom w:val="none" w:sz="0" w:space="0" w:color="auto"/>
            <w:right w:val="none" w:sz="0" w:space="0" w:color="auto"/>
          </w:divBdr>
        </w:div>
        <w:div w:id="1644580972">
          <w:marLeft w:val="274"/>
          <w:marRight w:val="0"/>
          <w:marTop w:val="0"/>
          <w:marBottom w:val="0"/>
          <w:divBdr>
            <w:top w:val="none" w:sz="0" w:space="0" w:color="auto"/>
            <w:left w:val="none" w:sz="0" w:space="0" w:color="auto"/>
            <w:bottom w:val="none" w:sz="0" w:space="0" w:color="auto"/>
            <w:right w:val="none" w:sz="0" w:space="0" w:color="auto"/>
          </w:divBdr>
        </w:div>
        <w:div w:id="101924323">
          <w:marLeft w:val="274"/>
          <w:marRight w:val="0"/>
          <w:marTop w:val="0"/>
          <w:marBottom w:val="0"/>
          <w:divBdr>
            <w:top w:val="none" w:sz="0" w:space="0" w:color="auto"/>
            <w:left w:val="none" w:sz="0" w:space="0" w:color="auto"/>
            <w:bottom w:val="none" w:sz="0" w:space="0" w:color="auto"/>
            <w:right w:val="none" w:sz="0" w:space="0" w:color="auto"/>
          </w:divBdr>
        </w:div>
        <w:div w:id="111442381">
          <w:marLeft w:val="274"/>
          <w:marRight w:val="0"/>
          <w:marTop w:val="0"/>
          <w:marBottom w:val="0"/>
          <w:divBdr>
            <w:top w:val="none" w:sz="0" w:space="0" w:color="auto"/>
            <w:left w:val="none" w:sz="0" w:space="0" w:color="auto"/>
            <w:bottom w:val="none" w:sz="0" w:space="0" w:color="auto"/>
            <w:right w:val="none" w:sz="0" w:space="0" w:color="auto"/>
          </w:divBdr>
        </w:div>
        <w:div w:id="678897286">
          <w:marLeft w:val="274"/>
          <w:marRight w:val="0"/>
          <w:marTop w:val="0"/>
          <w:marBottom w:val="0"/>
          <w:divBdr>
            <w:top w:val="none" w:sz="0" w:space="0" w:color="auto"/>
            <w:left w:val="none" w:sz="0" w:space="0" w:color="auto"/>
            <w:bottom w:val="none" w:sz="0" w:space="0" w:color="auto"/>
            <w:right w:val="none" w:sz="0" w:space="0" w:color="auto"/>
          </w:divBdr>
        </w:div>
        <w:div w:id="1846700945">
          <w:marLeft w:val="274"/>
          <w:marRight w:val="0"/>
          <w:marTop w:val="0"/>
          <w:marBottom w:val="0"/>
          <w:divBdr>
            <w:top w:val="none" w:sz="0" w:space="0" w:color="auto"/>
            <w:left w:val="none" w:sz="0" w:space="0" w:color="auto"/>
            <w:bottom w:val="none" w:sz="0" w:space="0" w:color="auto"/>
            <w:right w:val="none" w:sz="0" w:space="0" w:color="auto"/>
          </w:divBdr>
        </w:div>
        <w:div w:id="375082329">
          <w:marLeft w:val="274"/>
          <w:marRight w:val="0"/>
          <w:marTop w:val="0"/>
          <w:marBottom w:val="0"/>
          <w:divBdr>
            <w:top w:val="none" w:sz="0" w:space="0" w:color="auto"/>
            <w:left w:val="none" w:sz="0" w:space="0" w:color="auto"/>
            <w:bottom w:val="none" w:sz="0" w:space="0" w:color="auto"/>
            <w:right w:val="none" w:sz="0" w:space="0" w:color="auto"/>
          </w:divBdr>
        </w:div>
        <w:div w:id="1989161844">
          <w:marLeft w:val="274"/>
          <w:marRight w:val="0"/>
          <w:marTop w:val="0"/>
          <w:marBottom w:val="0"/>
          <w:divBdr>
            <w:top w:val="none" w:sz="0" w:space="0" w:color="auto"/>
            <w:left w:val="none" w:sz="0" w:space="0" w:color="auto"/>
            <w:bottom w:val="none" w:sz="0" w:space="0" w:color="auto"/>
            <w:right w:val="none" w:sz="0" w:space="0" w:color="auto"/>
          </w:divBdr>
        </w:div>
        <w:div w:id="830755151">
          <w:marLeft w:val="274"/>
          <w:marRight w:val="0"/>
          <w:marTop w:val="0"/>
          <w:marBottom w:val="0"/>
          <w:divBdr>
            <w:top w:val="none" w:sz="0" w:space="0" w:color="auto"/>
            <w:left w:val="none" w:sz="0" w:space="0" w:color="auto"/>
            <w:bottom w:val="none" w:sz="0" w:space="0" w:color="auto"/>
            <w:right w:val="none" w:sz="0" w:space="0" w:color="auto"/>
          </w:divBdr>
        </w:div>
        <w:div w:id="1798178179">
          <w:marLeft w:val="274"/>
          <w:marRight w:val="0"/>
          <w:marTop w:val="0"/>
          <w:marBottom w:val="0"/>
          <w:divBdr>
            <w:top w:val="none" w:sz="0" w:space="0" w:color="auto"/>
            <w:left w:val="none" w:sz="0" w:space="0" w:color="auto"/>
            <w:bottom w:val="none" w:sz="0" w:space="0" w:color="auto"/>
            <w:right w:val="none" w:sz="0" w:space="0" w:color="auto"/>
          </w:divBdr>
        </w:div>
        <w:div w:id="1054541386">
          <w:marLeft w:val="274"/>
          <w:marRight w:val="0"/>
          <w:marTop w:val="0"/>
          <w:marBottom w:val="0"/>
          <w:divBdr>
            <w:top w:val="none" w:sz="0" w:space="0" w:color="auto"/>
            <w:left w:val="none" w:sz="0" w:space="0" w:color="auto"/>
            <w:bottom w:val="none" w:sz="0" w:space="0" w:color="auto"/>
            <w:right w:val="none" w:sz="0" w:space="0" w:color="auto"/>
          </w:divBdr>
        </w:div>
        <w:div w:id="2041004603">
          <w:marLeft w:val="274"/>
          <w:marRight w:val="0"/>
          <w:marTop w:val="0"/>
          <w:marBottom w:val="0"/>
          <w:divBdr>
            <w:top w:val="none" w:sz="0" w:space="0" w:color="auto"/>
            <w:left w:val="none" w:sz="0" w:space="0" w:color="auto"/>
            <w:bottom w:val="none" w:sz="0" w:space="0" w:color="auto"/>
            <w:right w:val="none" w:sz="0" w:space="0" w:color="auto"/>
          </w:divBdr>
        </w:div>
        <w:div w:id="1377654554">
          <w:marLeft w:val="274"/>
          <w:marRight w:val="0"/>
          <w:marTop w:val="0"/>
          <w:marBottom w:val="0"/>
          <w:divBdr>
            <w:top w:val="none" w:sz="0" w:space="0" w:color="auto"/>
            <w:left w:val="none" w:sz="0" w:space="0" w:color="auto"/>
            <w:bottom w:val="none" w:sz="0" w:space="0" w:color="auto"/>
            <w:right w:val="none" w:sz="0" w:space="0" w:color="auto"/>
          </w:divBdr>
        </w:div>
        <w:div w:id="472523138">
          <w:marLeft w:val="274"/>
          <w:marRight w:val="0"/>
          <w:marTop w:val="0"/>
          <w:marBottom w:val="0"/>
          <w:divBdr>
            <w:top w:val="none" w:sz="0" w:space="0" w:color="auto"/>
            <w:left w:val="none" w:sz="0" w:space="0" w:color="auto"/>
            <w:bottom w:val="none" w:sz="0" w:space="0" w:color="auto"/>
            <w:right w:val="none" w:sz="0" w:space="0" w:color="auto"/>
          </w:divBdr>
        </w:div>
        <w:div w:id="588201640">
          <w:marLeft w:val="274"/>
          <w:marRight w:val="0"/>
          <w:marTop w:val="0"/>
          <w:marBottom w:val="0"/>
          <w:divBdr>
            <w:top w:val="none" w:sz="0" w:space="0" w:color="auto"/>
            <w:left w:val="none" w:sz="0" w:space="0" w:color="auto"/>
            <w:bottom w:val="none" w:sz="0" w:space="0" w:color="auto"/>
            <w:right w:val="none" w:sz="0" w:space="0" w:color="auto"/>
          </w:divBdr>
        </w:div>
        <w:div w:id="1567063379">
          <w:marLeft w:val="274"/>
          <w:marRight w:val="0"/>
          <w:marTop w:val="0"/>
          <w:marBottom w:val="0"/>
          <w:divBdr>
            <w:top w:val="none" w:sz="0" w:space="0" w:color="auto"/>
            <w:left w:val="none" w:sz="0" w:space="0" w:color="auto"/>
            <w:bottom w:val="none" w:sz="0" w:space="0" w:color="auto"/>
            <w:right w:val="none" w:sz="0" w:space="0" w:color="auto"/>
          </w:divBdr>
        </w:div>
        <w:div w:id="516506590">
          <w:marLeft w:val="274"/>
          <w:marRight w:val="0"/>
          <w:marTop w:val="0"/>
          <w:marBottom w:val="0"/>
          <w:divBdr>
            <w:top w:val="none" w:sz="0" w:space="0" w:color="auto"/>
            <w:left w:val="none" w:sz="0" w:space="0" w:color="auto"/>
            <w:bottom w:val="none" w:sz="0" w:space="0" w:color="auto"/>
            <w:right w:val="none" w:sz="0" w:space="0" w:color="auto"/>
          </w:divBdr>
        </w:div>
        <w:div w:id="121465488">
          <w:marLeft w:val="274"/>
          <w:marRight w:val="0"/>
          <w:marTop w:val="0"/>
          <w:marBottom w:val="0"/>
          <w:divBdr>
            <w:top w:val="none" w:sz="0" w:space="0" w:color="auto"/>
            <w:left w:val="none" w:sz="0" w:space="0" w:color="auto"/>
            <w:bottom w:val="none" w:sz="0" w:space="0" w:color="auto"/>
            <w:right w:val="none" w:sz="0" w:space="0" w:color="auto"/>
          </w:divBdr>
        </w:div>
        <w:div w:id="1424641663">
          <w:marLeft w:val="274"/>
          <w:marRight w:val="0"/>
          <w:marTop w:val="0"/>
          <w:marBottom w:val="0"/>
          <w:divBdr>
            <w:top w:val="none" w:sz="0" w:space="0" w:color="auto"/>
            <w:left w:val="none" w:sz="0" w:space="0" w:color="auto"/>
            <w:bottom w:val="none" w:sz="0" w:space="0" w:color="auto"/>
            <w:right w:val="none" w:sz="0" w:space="0" w:color="auto"/>
          </w:divBdr>
        </w:div>
        <w:div w:id="325132074">
          <w:marLeft w:val="274"/>
          <w:marRight w:val="0"/>
          <w:marTop w:val="0"/>
          <w:marBottom w:val="0"/>
          <w:divBdr>
            <w:top w:val="none" w:sz="0" w:space="0" w:color="auto"/>
            <w:left w:val="none" w:sz="0" w:space="0" w:color="auto"/>
            <w:bottom w:val="none" w:sz="0" w:space="0" w:color="auto"/>
            <w:right w:val="none" w:sz="0" w:space="0" w:color="auto"/>
          </w:divBdr>
        </w:div>
        <w:div w:id="353501876">
          <w:marLeft w:val="274"/>
          <w:marRight w:val="0"/>
          <w:marTop w:val="0"/>
          <w:marBottom w:val="0"/>
          <w:divBdr>
            <w:top w:val="none" w:sz="0" w:space="0" w:color="auto"/>
            <w:left w:val="none" w:sz="0" w:space="0" w:color="auto"/>
            <w:bottom w:val="none" w:sz="0" w:space="0" w:color="auto"/>
            <w:right w:val="none" w:sz="0" w:space="0" w:color="auto"/>
          </w:divBdr>
        </w:div>
        <w:div w:id="1687554785">
          <w:marLeft w:val="274"/>
          <w:marRight w:val="0"/>
          <w:marTop w:val="0"/>
          <w:marBottom w:val="0"/>
          <w:divBdr>
            <w:top w:val="none" w:sz="0" w:space="0" w:color="auto"/>
            <w:left w:val="none" w:sz="0" w:space="0" w:color="auto"/>
            <w:bottom w:val="none" w:sz="0" w:space="0" w:color="auto"/>
            <w:right w:val="none" w:sz="0" w:space="0" w:color="auto"/>
          </w:divBdr>
        </w:div>
        <w:div w:id="364138324">
          <w:marLeft w:val="274"/>
          <w:marRight w:val="0"/>
          <w:marTop w:val="0"/>
          <w:marBottom w:val="0"/>
          <w:divBdr>
            <w:top w:val="none" w:sz="0" w:space="0" w:color="auto"/>
            <w:left w:val="none" w:sz="0" w:space="0" w:color="auto"/>
            <w:bottom w:val="none" w:sz="0" w:space="0" w:color="auto"/>
            <w:right w:val="none" w:sz="0" w:space="0" w:color="auto"/>
          </w:divBdr>
        </w:div>
        <w:div w:id="433139699">
          <w:marLeft w:val="274"/>
          <w:marRight w:val="0"/>
          <w:marTop w:val="0"/>
          <w:marBottom w:val="0"/>
          <w:divBdr>
            <w:top w:val="none" w:sz="0" w:space="0" w:color="auto"/>
            <w:left w:val="none" w:sz="0" w:space="0" w:color="auto"/>
            <w:bottom w:val="none" w:sz="0" w:space="0" w:color="auto"/>
            <w:right w:val="none" w:sz="0" w:space="0" w:color="auto"/>
          </w:divBdr>
        </w:div>
        <w:div w:id="892083183">
          <w:marLeft w:val="274"/>
          <w:marRight w:val="0"/>
          <w:marTop w:val="0"/>
          <w:marBottom w:val="0"/>
          <w:divBdr>
            <w:top w:val="none" w:sz="0" w:space="0" w:color="auto"/>
            <w:left w:val="none" w:sz="0" w:space="0" w:color="auto"/>
            <w:bottom w:val="none" w:sz="0" w:space="0" w:color="auto"/>
            <w:right w:val="none" w:sz="0" w:space="0" w:color="auto"/>
          </w:divBdr>
        </w:div>
        <w:div w:id="350034308">
          <w:marLeft w:val="274"/>
          <w:marRight w:val="0"/>
          <w:marTop w:val="0"/>
          <w:marBottom w:val="0"/>
          <w:divBdr>
            <w:top w:val="none" w:sz="0" w:space="0" w:color="auto"/>
            <w:left w:val="none" w:sz="0" w:space="0" w:color="auto"/>
            <w:bottom w:val="none" w:sz="0" w:space="0" w:color="auto"/>
            <w:right w:val="none" w:sz="0" w:space="0" w:color="auto"/>
          </w:divBdr>
        </w:div>
        <w:div w:id="1944921371">
          <w:marLeft w:val="274"/>
          <w:marRight w:val="0"/>
          <w:marTop w:val="0"/>
          <w:marBottom w:val="0"/>
          <w:divBdr>
            <w:top w:val="none" w:sz="0" w:space="0" w:color="auto"/>
            <w:left w:val="none" w:sz="0" w:space="0" w:color="auto"/>
            <w:bottom w:val="none" w:sz="0" w:space="0" w:color="auto"/>
            <w:right w:val="none" w:sz="0" w:space="0" w:color="auto"/>
          </w:divBdr>
        </w:div>
        <w:div w:id="1619870776">
          <w:marLeft w:val="274"/>
          <w:marRight w:val="0"/>
          <w:marTop w:val="0"/>
          <w:marBottom w:val="0"/>
          <w:divBdr>
            <w:top w:val="none" w:sz="0" w:space="0" w:color="auto"/>
            <w:left w:val="none" w:sz="0" w:space="0" w:color="auto"/>
            <w:bottom w:val="none" w:sz="0" w:space="0" w:color="auto"/>
            <w:right w:val="none" w:sz="0" w:space="0" w:color="auto"/>
          </w:divBdr>
        </w:div>
        <w:div w:id="2008484461">
          <w:marLeft w:val="274"/>
          <w:marRight w:val="0"/>
          <w:marTop w:val="0"/>
          <w:marBottom w:val="0"/>
          <w:divBdr>
            <w:top w:val="none" w:sz="0" w:space="0" w:color="auto"/>
            <w:left w:val="none" w:sz="0" w:space="0" w:color="auto"/>
            <w:bottom w:val="none" w:sz="0" w:space="0" w:color="auto"/>
            <w:right w:val="none" w:sz="0" w:space="0" w:color="auto"/>
          </w:divBdr>
        </w:div>
        <w:div w:id="2066560028">
          <w:marLeft w:val="274"/>
          <w:marRight w:val="0"/>
          <w:marTop w:val="0"/>
          <w:marBottom w:val="0"/>
          <w:divBdr>
            <w:top w:val="none" w:sz="0" w:space="0" w:color="auto"/>
            <w:left w:val="none" w:sz="0" w:space="0" w:color="auto"/>
            <w:bottom w:val="none" w:sz="0" w:space="0" w:color="auto"/>
            <w:right w:val="none" w:sz="0" w:space="0" w:color="auto"/>
          </w:divBdr>
        </w:div>
        <w:div w:id="156965730">
          <w:marLeft w:val="274"/>
          <w:marRight w:val="0"/>
          <w:marTop w:val="0"/>
          <w:marBottom w:val="0"/>
          <w:divBdr>
            <w:top w:val="none" w:sz="0" w:space="0" w:color="auto"/>
            <w:left w:val="none" w:sz="0" w:space="0" w:color="auto"/>
            <w:bottom w:val="none" w:sz="0" w:space="0" w:color="auto"/>
            <w:right w:val="none" w:sz="0" w:space="0" w:color="auto"/>
          </w:divBdr>
        </w:div>
        <w:div w:id="1300767757">
          <w:marLeft w:val="274"/>
          <w:marRight w:val="0"/>
          <w:marTop w:val="0"/>
          <w:marBottom w:val="0"/>
          <w:divBdr>
            <w:top w:val="none" w:sz="0" w:space="0" w:color="auto"/>
            <w:left w:val="none" w:sz="0" w:space="0" w:color="auto"/>
            <w:bottom w:val="none" w:sz="0" w:space="0" w:color="auto"/>
            <w:right w:val="none" w:sz="0" w:space="0" w:color="auto"/>
          </w:divBdr>
        </w:div>
        <w:div w:id="1711958284">
          <w:marLeft w:val="274"/>
          <w:marRight w:val="0"/>
          <w:marTop w:val="0"/>
          <w:marBottom w:val="0"/>
          <w:divBdr>
            <w:top w:val="none" w:sz="0" w:space="0" w:color="auto"/>
            <w:left w:val="none" w:sz="0" w:space="0" w:color="auto"/>
            <w:bottom w:val="none" w:sz="0" w:space="0" w:color="auto"/>
            <w:right w:val="none" w:sz="0" w:space="0" w:color="auto"/>
          </w:divBdr>
        </w:div>
        <w:div w:id="1168055325">
          <w:marLeft w:val="274"/>
          <w:marRight w:val="0"/>
          <w:marTop w:val="0"/>
          <w:marBottom w:val="0"/>
          <w:divBdr>
            <w:top w:val="none" w:sz="0" w:space="0" w:color="auto"/>
            <w:left w:val="none" w:sz="0" w:space="0" w:color="auto"/>
            <w:bottom w:val="none" w:sz="0" w:space="0" w:color="auto"/>
            <w:right w:val="none" w:sz="0" w:space="0" w:color="auto"/>
          </w:divBdr>
        </w:div>
        <w:div w:id="999310273">
          <w:marLeft w:val="274"/>
          <w:marRight w:val="0"/>
          <w:marTop w:val="0"/>
          <w:marBottom w:val="0"/>
          <w:divBdr>
            <w:top w:val="none" w:sz="0" w:space="0" w:color="auto"/>
            <w:left w:val="none" w:sz="0" w:space="0" w:color="auto"/>
            <w:bottom w:val="none" w:sz="0" w:space="0" w:color="auto"/>
            <w:right w:val="none" w:sz="0" w:space="0" w:color="auto"/>
          </w:divBdr>
        </w:div>
        <w:div w:id="1804158428">
          <w:marLeft w:val="274"/>
          <w:marRight w:val="0"/>
          <w:marTop w:val="0"/>
          <w:marBottom w:val="0"/>
          <w:divBdr>
            <w:top w:val="none" w:sz="0" w:space="0" w:color="auto"/>
            <w:left w:val="none" w:sz="0" w:space="0" w:color="auto"/>
            <w:bottom w:val="none" w:sz="0" w:space="0" w:color="auto"/>
            <w:right w:val="none" w:sz="0" w:space="0" w:color="auto"/>
          </w:divBdr>
        </w:div>
      </w:divsChild>
    </w:div>
    <w:div w:id="1250042395">
      <w:bodyDiv w:val="1"/>
      <w:marLeft w:val="0"/>
      <w:marRight w:val="0"/>
      <w:marTop w:val="0"/>
      <w:marBottom w:val="0"/>
      <w:divBdr>
        <w:top w:val="none" w:sz="0" w:space="0" w:color="auto"/>
        <w:left w:val="none" w:sz="0" w:space="0" w:color="auto"/>
        <w:bottom w:val="none" w:sz="0" w:space="0" w:color="auto"/>
        <w:right w:val="none" w:sz="0" w:space="0" w:color="auto"/>
      </w:divBdr>
      <w:divsChild>
        <w:div w:id="46953769">
          <w:marLeft w:val="547"/>
          <w:marRight w:val="0"/>
          <w:marTop w:val="0"/>
          <w:marBottom w:val="0"/>
          <w:divBdr>
            <w:top w:val="none" w:sz="0" w:space="0" w:color="auto"/>
            <w:left w:val="none" w:sz="0" w:space="0" w:color="auto"/>
            <w:bottom w:val="none" w:sz="0" w:space="0" w:color="auto"/>
            <w:right w:val="none" w:sz="0" w:space="0" w:color="auto"/>
          </w:divBdr>
        </w:div>
      </w:divsChild>
    </w:div>
    <w:div w:id="1256281357">
      <w:bodyDiv w:val="1"/>
      <w:marLeft w:val="0"/>
      <w:marRight w:val="0"/>
      <w:marTop w:val="0"/>
      <w:marBottom w:val="0"/>
      <w:divBdr>
        <w:top w:val="none" w:sz="0" w:space="0" w:color="auto"/>
        <w:left w:val="none" w:sz="0" w:space="0" w:color="auto"/>
        <w:bottom w:val="none" w:sz="0" w:space="0" w:color="auto"/>
        <w:right w:val="none" w:sz="0" w:space="0" w:color="auto"/>
      </w:divBdr>
    </w:div>
    <w:div w:id="1332830606">
      <w:bodyDiv w:val="1"/>
      <w:marLeft w:val="0"/>
      <w:marRight w:val="0"/>
      <w:marTop w:val="0"/>
      <w:marBottom w:val="0"/>
      <w:divBdr>
        <w:top w:val="none" w:sz="0" w:space="0" w:color="auto"/>
        <w:left w:val="none" w:sz="0" w:space="0" w:color="auto"/>
        <w:bottom w:val="none" w:sz="0" w:space="0" w:color="auto"/>
        <w:right w:val="none" w:sz="0" w:space="0" w:color="auto"/>
      </w:divBdr>
    </w:div>
    <w:div w:id="1421831299">
      <w:bodyDiv w:val="1"/>
      <w:marLeft w:val="0"/>
      <w:marRight w:val="0"/>
      <w:marTop w:val="0"/>
      <w:marBottom w:val="0"/>
      <w:divBdr>
        <w:top w:val="none" w:sz="0" w:space="0" w:color="auto"/>
        <w:left w:val="none" w:sz="0" w:space="0" w:color="auto"/>
        <w:bottom w:val="none" w:sz="0" w:space="0" w:color="auto"/>
        <w:right w:val="none" w:sz="0" w:space="0" w:color="auto"/>
      </w:divBdr>
      <w:divsChild>
        <w:div w:id="1765681911">
          <w:marLeft w:val="547"/>
          <w:marRight w:val="0"/>
          <w:marTop w:val="0"/>
          <w:marBottom w:val="0"/>
          <w:divBdr>
            <w:top w:val="none" w:sz="0" w:space="0" w:color="auto"/>
            <w:left w:val="none" w:sz="0" w:space="0" w:color="auto"/>
            <w:bottom w:val="none" w:sz="0" w:space="0" w:color="auto"/>
            <w:right w:val="none" w:sz="0" w:space="0" w:color="auto"/>
          </w:divBdr>
        </w:div>
      </w:divsChild>
    </w:div>
    <w:div w:id="1503201957">
      <w:bodyDiv w:val="1"/>
      <w:marLeft w:val="0"/>
      <w:marRight w:val="0"/>
      <w:marTop w:val="0"/>
      <w:marBottom w:val="0"/>
      <w:divBdr>
        <w:top w:val="none" w:sz="0" w:space="0" w:color="auto"/>
        <w:left w:val="none" w:sz="0" w:space="0" w:color="auto"/>
        <w:bottom w:val="none" w:sz="0" w:space="0" w:color="auto"/>
        <w:right w:val="none" w:sz="0" w:space="0" w:color="auto"/>
      </w:divBdr>
    </w:div>
    <w:div w:id="1959679670">
      <w:bodyDiv w:val="1"/>
      <w:marLeft w:val="0"/>
      <w:marRight w:val="0"/>
      <w:marTop w:val="0"/>
      <w:marBottom w:val="0"/>
      <w:divBdr>
        <w:top w:val="none" w:sz="0" w:space="0" w:color="auto"/>
        <w:left w:val="none" w:sz="0" w:space="0" w:color="auto"/>
        <w:bottom w:val="none" w:sz="0" w:space="0" w:color="auto"/>
        <w:right w:val="none" w:sz="0" w:space="0" w:color="auto"/>
      </w:divBdr>
      <w:divsChild>
        <w:div w:id="842253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oezicht.dnb.nl/2/50-234066.jsp"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e3213a6-3d3a-4fd1-b2e1-5dac641bbf5e" ContentTypeId="0x0101001A9AF98CE4D646E7BAD5E0A615FBC45700531684C5AA7845B1B8AD3BF3F8A4C4F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NB Taak Document" ma:contentTypeID="0x0101001A9AF98CE4D646E7BAD5E0A615FBC45700531684C5AA7845B1B8AD3BF3F8A4C4F800CD68B41995376B468934DB61CABECCD9" ma:contentTypeVersion="16" ma:contentTypeDescription="DNB Taak Document" ma:contentTypeScope="" ma:versionID="77d68bcca0612798a1c02cea215f5d35">
  <xsd:schema xmlns:xsd="http://www.w3.org/2001/XMLSchema" xmlns:xs="http://www.w3.org/2001/XMLSchema" xmlns:p="http://schemas.microsoft.com/office/2006/metadata/properties" xmlns:ns2="e2ca8c4b-f077-40f0-95ed-b4a579d6a323" xmlns:ns3="c73b39cc-0e69-4665-8db4-7ab582043597" targetNamespace="http://schemas.microsoft.com/office/2006/metadata/properties" ma:root="true" ma:fieldsID="a0a05740f74bc278cd6fa9b8d421cc98" ns2:_="" ns3:_="">
    <xsd:import namespace="e2ca8c4b-f077-40f0-95ed-b4a579d6a323"/>
    <xsd:import namespace="c73b39cc-0e69-4665-8db4-7ab582043597"/>
    <xsd:element name="properties">
      <xsd:complexType>
        <xsd:sequence>
          <xsd:element name="documentManagement">
            <xsd:complexType>
              <xsd:all>
                <xsd:element ref="ns2:DNB-AuteurFix" minOccurs="0"/>
                <xsd:element ref="ns2:DNB-Ontvanger" minOccurs="0"/>
                <xsd:element ref="ns2:DNB-CCOntvanger" minOccurs="0"/>
                <xsd:element ref="ns2:DNB-Opmerkingen" minOccurs="0"/>
                <xsd:element ref="ns2:DNB-Sjabloon" minOccurs="0"/>
                <xsd:element ref="ns2:EmTo" minOccurs="0"/>
                <xsd:element ref="ns2:EmFromName" minOccurs="0"/>
                <xsd:element ref="ns2:EmCC" minOccurs="0"/>
                <xsd:element ref="ns2:EmDate" minOccurs="0"/>
                <xsd:element ref="ns2:EmAttachCount" minOccurs="0"/>
                <xsd:element ref="ns2:EmAttachmentNames" minOccurs="0"/>
                <xsd:element ref="ns2:DNB-Distributie" minOccurs="0"/>
                <xsd:element ref="ns2:o647aae0ad2f4ff5acdc41f964aa5af6" minOccurs="0"/>
                <xsd:element ref="ns2:id6c789cff804afba200fcd377146773" minOccurs="0"/>
                <xsd:element ref="ns2:fad229a51b924077bad6f12c552b436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a8c4b-f077-40f0-95ed-b4a579d6a323" elementFormDefault="qualified">
    <xsd:import namespace="http://schemas.microsoft.com/office/2006/documentManagement/types"/>
    <xsd:import namespace="http://schemas.microsoft.com/office/infopath/2007/PartnerControls"/>
    <xsd:element name="DNB-AuteurFix" ma:index="6" nillable="true" ma:displayName="Author" ma:SearchPeopleOnly="false" ma:internalName="DNB_x002d_AuteurFix">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ntvanger" ma:index="7" nillable="true" ma:displayName="Recipient" ma:SearchPeopleOnly="false" ma:internalName="DNB_x002d_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CCOntvanger" ma:index="8" nillable="true" ma:displayName="CC Recipient" ma:SearchPeopleOnly="false" ma:internalName="DNB_x002d_CCOntvan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NB-Opmerkingen" ma:index="9" nillable="true" ma:displayName="Remarks" ma:hidden="true" ma:internalName="DNB_x002d_Opmerkingen">
      <xsd:simpleType>
        <xsd:restriction base="dms:Note"/>
      </xsd:simpleType>
    </xsd:element>
    <xsd:element name="DNB-Sjabloon" ma:index="10" nillable="true" ma:displayName="Sjabloon" ma:hidden="true" ma:internalName="DNB_x002d_Sjabloon">
      <xsd:simpleType>
        <xsd:restriction base="dms:Text"/>
      </xsd:simpleType>
    </xsd:element>
    <xsd:element name="EmTo" ma:index="11" nillable="true" ma:displayName="E-mail To" ma:hidden="true" ma:internalName="EmTo">
      <xsd:simpleType>
        <xsd:restriction base="dms:Note">
          <xsd:maxLength value="255"/>
        </xsd:restriction>
      </xsd:simpleType>
    </xsd:element>
    <xsd:element name="EmFromName" ma:index="12" nillable="true" ma:displayName="E-mail From" ma:hidden="true" ma:internalName="EmFromName">
      <xsd:simpleType>
        <xsd:restriction base="dms:Text"/>
      </xsd:simpleType>
    </xsd:element>
    <xsd:element name="EmCC" ma:index="13" nillable="true" ma:displayName="E-mail CC" ma:hidden="true" ma:internalName="EmCC">
      <xsd:simpleType>
        <xsd:restriction base="dms:Note">
          <xsd:maxLength value="255"/>
        </xsd:restriction>
      </xsd:simpleType>
    </xsd:element>
    <xsd:element name="EmDate" ma:index="14" nillable="true" ma:displayName="E-mail Date" ma:hidden="true" ma:internalName="EmDate">
      <xsd:simpleType>
        <xsd:restriction base="dms:DateTime"/>
      </xsd:simpleType>
    </xsd:element>
    <xsd:element name="EmAttachCount" ma:index="15" nillable="true" ma:displayName="E-mail Attachment Count" ma:hidden="true" ma:internalName="EmAttachCount">
      <xsd:simpleType>
        <xsd:restriction base="dms:Text"/>
      </xsd:simpleType>
    </xsd:element>
    <xsd:element name="EmAttachmentNames" ma:index="16" nillable="true" ma:displayName="E-mail Attachment Names" ma:hidden="true" ma:internalName="EmAttachmentNames">
      <xsd:simpleType>
        <xsd:restriction base="dms:Note">
          <xsd:maxLength value="255"/>
        </xsd:restriction>
      </xsd:simpleType>
    </xsd:element>
    <xsd:element name="DNB-Distributie" ma:index="17" nillable="true" ma:displayName="Distributie" ma:default="False" ma:hidden="true" ma:internalName="DNB_x002d_Distributie">
      <xsd:simpleType>
        <xsd:restriction base="dms:Boolean"/>
      </xsd:simpleType>
    </xsd:element>
    <xsd:element name="o647aae0ad2f4ff5acdc41f964aa5af6" ma:index="19" nillable="true" ma:taxonomy="true" ma:internalName="DNB_x002d_Afdeling_TaxHTField0" ma:taxonomyFieldName="DNB_x002d_Afdeling" ma:displayName="Department" ma:fieldId="{8647aae0-ad2f-4ff5-acdc-41f964aa5af6}"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id6c789cff804afba200fcd377146773" ma:index="21" nillable="true" ma:taxonomy="true" ma:internalName="DNB_x002d_Divisie_TaxHTField0" ma:taxonomyFieldName="DNB_x002d_Divisie" ma:displayName="Division" ma:fieldId="{2d6c789c-ff80-4afb-a200-fcd377146773}" ma:sspId="1e3213a6-3d3a-4fd1-b2e1-5dac641bbf5e" ma:termSetId="f1bb8585-b79d-427a-822a-3c18649c7534" ma:anchorId="b61b89a1-fb9f-476c-9b0d-f5c5c893d3bc" ma:open="false" ma:isKeyword="false">
      <xsd:complexType>
        <xsd:sequence>
          <xsd:element ref="pc:Terms" minOccurs="0" maxOccurs="1"/>
        </xsd:sequence>
      </xsd:complexType>
    </xsd:element>
    <xsd:element name="fad229a51b924077bad6f12c552b436b" ma:index="26" ma:taxonomy="true" ma:internalName="DNB_x002d_SecurityLevel_TaxHTField0" ma:taxonomyFieldName="DNB_x002d_SecurityLevel" ma:displayName="Confidentiality" ma:readOnly="false" ma:fieldId="{fad229a5-1b92-4077-bad6-f12c552b436b}" ma:sspId="1e3213a6-3d3a-4fd1-b2e1-5dac641bbf5e" ma:termSetId="d600dd74-336e-46fc-bce3-731836ca17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3b39cc-0e69-4665-8db4-7ab58204359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NB-Ontvanger xmlns="e2ca8c4b-f077-40f0-95ed-b4a579d6a323">
      <UserInfo>
        <DisplayName/>
        <AccountId xsi:nil="true"/>
        <AccountType/>
      </UserInfo>
    </DNB-Ontvanger>
    <EmDate xmlns="e2ca8c4b-f077-40f0-95ed-b4a579d6a323" xsi:nil="true"/>
    <id6c789cff804afba200fcd377146773 xmlns="e2ca8c4b-f077-40f0-95ed-b4a579d6a323">
      <Terms xmlns="http://schemas.microsoft.com/office/infopath/2007/PartnerControls">
        <TermInfo xmlns="http://schemas.microsoft.com/office/infopath/2007/PartnerControls">
          <TermName xmlns="http://schemas.microsoft.com/office/infopath/2007/PartnerControls">Toezicht horizontale functies en integriteit</TermName>
          <TermId xmlns="http://schemas.microsoft.com/office/infopath/2007/PartnerControls">2090ac3b-cfcd-4ba9-a359-6b4437152e28</TermId>
        </TermInfo>
      </Terms>
    </id6c789cff804afba200fcd377146773>
    <DNB-AuteurFix xmlns="e2ca8c4b-f077-40f0-95ed-b4a579d6a323">
      <UserInfo>
        <DisplayName/>
        <AccountId xsi:nil="true"/>
        <AccountType/>
      </UserInfo>
    </DNB-AuteurFix>
    <EmCC xmlns="e2ca8c4b-f077-40f0-95ed-b4a579d6a323" xsi:nil="true"/>
    <EmAttachCount xmlns="e2ca8c4b-f077-40f0-95ed-b4a579d6a323" xsi:nil="true"/>
    <DNB-Sjabloon xmlns="e2ca8c4b-f077-40f0-95ed-b4a579d6a323" xsi:nil="true"/>
    <EmFromName xmlns="e2ca8c4b-f077-40f0-95ed-b4a579d6a323" xsi:nil="true"/>
    <DNB-Opmerkingen xmlns="e2ca8c4b-f077-40f0-95ed-b4a579d6a323" xsi:nil="true"/>
    <EmTo xmlns="e2ca8c4b-f077-40f0-95ed-b4a579d6a323" xsi:nil="true"/>
    <o647aae0ad2f4ff5acdc41f964aa5af6 xmlns="e2ca8c4b-f077-40f0-95ed-b4a579d6a323">
      <Terms xmlns="http://schemas.microsoft.com/office/infopath/2007/PartnerControls"/>
    </o647aae0ad2f4ff5acdc41f964aa5af6>
    <fad229a51b924077bad6f12c552b436b xmlns="e2ca8c4b-f077-40f0-95ed-b4a579d6a323">
      <Terms xmlns="http://schemas.microsoft.com/office/infopath/2007/PartnerControls">
        <TermInfo xmlns="http://schemas.microsoft.com/office/infopath/2007/PartnerControls">
          <TermName xmlns="http://schemas.microsoft.com/office/infopath/2007/PartnerControls">DNB-RESTRICTED</TermName>
          <TermId xmlns="http://schemas.microsoft.com/office/infopath/2007/PartnerControls">c01d8a4b-14ee-4ab1-91b8-1b231009c537</TermId>
        </TermInfo>
      </Terms>
    </fad229a51b924077bad6f12c552b436b>
    <DNB-CCOntvanger xmlns="e2ca8c4b-f077-40f0-95ed-b4a579d6a323">
      <UserInfo>
        <DisplayName/>
        <AccountId xsi:nil="true"/>
        <AccountType/>
      </UserInfo>
    </DNB-CCOntvanger>
    <EmAttachmentNames xmlns="e2ca8c4b-f077-40f0-95ed-b4a579d6a323" xsi:nil="true"/>
    <DNB-Distributie xmlns="e2ca8c4b-f077-40f0-95ed-b4a579d6a323">false</DNB-Distributie>
    <_dlc_DocId xmlns="c73b39cc-0e69-4665-8db4-7ab582043597">T033-891708326-25</_dlc_DocId>
    <_dlc_DocIdUrl xmlns="c73b39cc-0e69-4665-8db4-7ab582043597">
      <Url>https://tasks.sharepoint.dnb.nl/sites/tu-Integriteit/IPoolStuurgroep/_layouts/15/DocIdRedir.aspx?ID=T033-891708326-25</Url>
      <Description>T033-891708326-25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97284-1293-49C1-B7C8-74F2A6E9F3AE}">
  <ds:schemaRefs>
    <ds:schemaRef ds:uri="Microsoft.SharePoint.Taxonomy.ContentTypeSync"/>
  </ds:schemaRefs>
</ds:datastoreItem>
</file>

<file path=customXml/itemProps2.xml><?xml version="1.0" encoding="utf-8"?>
<ds:datastoreItem xmlns:ds="http://schemas.openxmlformats.org/officeDocument/2006/customXml" ds:itemID="{E3094EE2-0B51-4CED-9D63-59621B542C28}">
  <ds:schemaRefs>
    <ds:schemaRef ds:uri="http://schemas.microsoft.com/sharepoint/events"/>
  </ds:schemaRefs>
</ds:datastoreItem>
</file>

<file path=customXml/itemProps3.xml><?xml version="1.0" encoding="utf-8"?>
<ds:datastoreItem xmlns:ds="http://schemas.openxmlformats.org/officeDocument/2006/customXml" ds:itemID="{50F0098D-6F7B-4D6B-96CD-6366350C4F04}">
  <ds:schemaRefs>
    <ds:schemaRef ds:uri="http://schemas.microsoft.com/sharepoint/v3/contenttype/forms"/>
  </ds:schemaRefs>
</ds:datastoreItem>
</file>

<file path=customXml/itemProps4.xml><?xml version="1.0" encoding="utf-8"?>
<ds:datastoreItem xmlns:ds="http://schemas.openxmlformats.org/officeDocument/2006/customXml" ds:itemID="{6CE751E0-07F4-465D-A8B9-B47775C3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a8c4b-f077-40f0-95ed-b4a579d6a323"/>
    <ds:schemaRef ds:uri="c73b39cc-0e69-4665-8db4-7ab582043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68749-BC6A-4239-9A3C-BAB22FC3E2A8}">
  <ds:schemaRefs>
    <ds:schemaRef ds:uri="http://schemas.microsoft.com/office/2006/metadata/properties"/>
    <ds:schemaRef ds:uri="http://schemas.microsoft.com/office/infopath/2007/PartnerControls"/>
    <ds:schemaRef ds:uri="e2ca8c4b-f077-40f0-95ed-b4a579d6a323"/>
    <ds:schemaRef ds:uri="c73b39cc-0e69-4665-8db4-7ab582043597"/>
  </ds:schemaRefs>
</ds:datastoreItem>
</file>

<file path=customXml/itemProps6.xml><?xml version="1.0" encoding="utf-8"?>
<ds:datastoreItem xmlns:ds="http://schemas.openxmlformats.org/officeDocument/2006/customXml" ds:itemID="{ED641708-EE4A-48CA-A9B8-796A20CB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9460</Words>
  <Characters>52035</Characters>
  <Application>Microsoft Office Word</Application>
  <DocSecurity>0</DocSecurity>
  <Lines>433</Lines>
  <Paragraphs>122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4A. thema2016_Transactiemonitoring_guidance_sector	 banken</vt:lpstr>
      <vt:lpstr>4A. thema2016_Transactiemonitoring_guidance_sector	 banken</vt:lpstr>
    </vt:vector>
  </TitlesOfParts>
  <Company>De Nederlandsche Bank N.V.</Company>
  <LinksUpToDate>false</LinksUpToDate>
  <CharactersWithSpaces>61373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 thema2016_Transactiemonitoring_guidance_sector	 banken</dc:title>
  <dc:subject/>
  <dc:creator>Ligthart, M.C. (Maarten) (THI_TTI)</dc:creator>
  <cp:keywords/>
  <dc:description/>
  <cp:lastModifiedBy>Jonneke van Poelgeest</cp:lastModifiedBy>
  <cp:revision>2</cp:revision>
  <cp:lastPrinted>2017-05-30T13:26:00Z</cp:lastPrinted>
  <dcterms:created xsi:type="dcterms:W3CDTF">2017-06-05T15:32:00Z</dcterms:created>
  <dcterms:modified xsi:type="dcterms:W3CDTF">2017-06-05T15:32:00Z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0x0101001A9AF98CE4D646E7BAD5E0A615FBC45700531684C5AA7845B1B8AD3BF3F8A4C4F800CD68B41995376B468934DB61CABECCD9</vt:lpwstr>
  </property>
  <property fmtid="{D5CDD505-2E9C-101B-9397-08002B2CF9AE}" pid="3" name="nfb347e1221645fda76d4c48becd33cd">
    <vt:lpwstr>Lopend|9178452f-7c5d-4617-8a9d-cb6cbffbcbfc</vt:lpwstr>
  </property>
  <property fmtid="{D5CDD505-2E9C-101B-9397-08002B2CF9AE}" pid="4" name="oad32f0385ad4870b0ad87bfeb983764">
    <vt:lpwstr>I-Pool vergaderingen|698f7342-2ed8-465a-b9ba-7a2dacc98811</vt:lpwstr>
  </property>
  <property fmtid="{D5CDD505-2E9C-101B-9397-08002B2CF9AE}" pid="5" name="TaxCatchAll">
    <vt:lpwstr>5;#Toezicht horizontale functies en integriteit|2090ac3b-cfcd-4ba9-a359-6b4437152e28;#4;#DNB-RESTRICTED|c01d8a4b-14ee-4ab1-91b8-1b231009c537;#3;#Lopend|9178452f-7c5d-4617-8a9d-cb6cbffbcbfc;#8;#I-Pool vergaderingen|698f7342-2ed8-465a-b9ba-7a2dacc98811</vt:lpwstr>
  </property>
  <property fmtid="{D5CDD505-2E9C-101B-9397-08002B2CF9AE}" pid="6" name="DNB-Taaklabel">
    <vt:lpwstr>8;#I-Pool vergaderingen|698f7342-2ed8-465a-b9ba-7a2dacc98811</vt:lpwstr>
  </property>
  <property fmtid="{D5CDD505-2E9C-101B-9397-08002B2CF9AE}" pid="7" name="_dlc_DocIdItemGuid">
    <vt:lpwstr>a84ae1a1-ed38-41cf-8993-3f4932b9b663</vt:lpwstr>
  </property>
  <property fmtid="{D5CDD505-2E9C-101B-9397-08002B2CF9AE}" pid="8" name="DNB-Divisie">
    <vt:lpwstr>5;#Toezicht horizontale functies en integriteit|2090ac3b-cfcd-4ba9-a359-6b4437152e28</vt:lpwstr>
  </property>
  <property fmtid="{D5CDD505-2E9C-101B-9397-08002B2CF9AE}" pid="9" name="DNB-Status">
    <vt:lpwstr>3;#Lopend|9178452f-7c5d-4617-8a9d-cb6cbffbcbfc</vt:lpwstr>
  </property>
  <property fmtid="{D5CDD505-2E9C-101B-9397-08002B2CF9AE}" pid="10" name="DNB-SecurityLevel">
    <vt:lpwstr>4;#DNB-RESTRICTED|c01d8a4b-14ee-4ab1-91b8-1b231009c537</vt:lpwstr>
  </property>
  <property fmtid="{D5CDD505-2E9C-101B-9397-08002B2CF9AE}" pid="11" name="DNB-Afdeling">
    <vt:lpwstr/>
  </property>
</Properties>
</file>